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A1DA" w14:textId="77777777" w:rsidR="00513FB9" w:rsidRDefault="00513FB9"/>
    <w:tbl>
      <w:tblPr>
        <w:tblW w:w="8964" w:type="dxa"/>
        <w:tblLook w:val="0000" w:firstRow="0" w:lastRow="0" w:firstColumn="0" w:lastColumn="0" w:noHBand="0" w:noVBand="0"/>
      </w:tblPr>
      <w:tblGrid>
        <w:gridCol w:w="3456"/>
        <w:gridCol w:w="5472"/>
        <w:gridCol w:w="36"/>
      </w:tblGrid>
      <w:tr w:rsidR="00513FB9" w:rsidRPr="007D7E0B" w14:paraId="71E40C0F" w14:textId="77777777" w:rsidTr="00513FB9">
        <w:trPr>
          <w:gridAfter w:val="1"/>
          <w:wAfter w:w="36" w:type="dxa"/>
        </w:trPr>
        <w:tc>
          <w:tcPr>
            <w:tcW w:w="8928" w:type="dxa"/>
            <w:gridSpan w:val="2"/>
            <w:tcBorders>
              <w:bottom w:val="single" w:sz="18" w:space="0" w:color="auto"/>
            </w:tcBorders>
          </w:tcPr>
          <w:p w14:paraId="052AE3D8" w14:textId="77777777" w:rsidR="00513FB9" w:rsidRDefault="00513FB9" w:rsidP="006D2C51">
            <w:pPr>
              <w:pStyle w:val="Infotext"/>
              <w:rPr>
                <w:rFonts w:ascii="Arial Black" w:hAnsi="Arial Black"/>
                <w:color w:val="999999"/>
                <w:sz w:val="36"/>
                <w:szCs w:val="36"/>
              </w:rPr>
            </w:pPr>
          </w:p>
          <w:p w14:paraId="5973790F" w14:textId="22D75E8E" w:rsidR="00513FB9" w:rsidRDefault="00B22B48"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DFCD6FE" wp14:editId="203EC34F">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3DF81901" w14:textId="77777777" w:rsidR="00513FB9" w:rsidRDefault="00513FB9" w:rsidP="006D2C51">
            <w:pPr>
              <w:pStyle w:val="Infotext"/>
              <w:rPr>
                <w:rFonts w:ascii="Arial Black" w:hAnsi="Arial Black" w:cs="Arial"/>
                <w:sz w:val="36"/>
                <w:szCs w:val="36"/>
              </w:rPr>
            </w:pPr>
          </w:p>
        </w:tc>
      </w:tr>
      <w:tr w:rsidR="002A2389" w14:paraId="57EAE748" w14:textId="77777777" w:rsidTr="00362D11">
        <w:tc>
          <w:tcPr>
            <w:tcW w:w="3456" w:type="dxa"/>
            <w:tcBorders>
              <w:bottom w:val="single" w:sz="18" w:space="0" w:color="auto"/>
            </w:tcBorders>
          </w:tcPr>
          <w:p w14:paraId="54AF8D57"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6DCE200A"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17B00CE2"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1C702588" w14:textId="77777777" w:rsidTr="00362D11">
        <w:tc>
          <w:tcPr>
            <w:tcW w:w="3456" w:type="dxa"/>
            <w:tcBorders>
              <w:top w:val="single" w:sz="18" w:space="0" w:color="auto"/>
            </w:tcBorders>
          </w:tcPr>
          <w:p w14:paraId="69B7A34C"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45009B43"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43512E75" w14:textId="1B23E5FC" w:rsidR="002A2389" w:rsidRDefault="00BC19A0" w:rsidP="00673E4A">
            <w:pPr>
              <w:pStyle w:val="Infotext"/>
              <w:rPr>
                <w:rFonts w:cs="Arial"/>
              </w:rPr>
            </w:pPr>
            <w:r>
              <w:rPr>
                <w:rFonts w:cs="Arial"/>
              </w:rPr>
              <w:t>14</w:t>
            </w:r>
            <w:bookmarkStart w:id="0" w:name="_GoBack"/>
            <w:bookmarkEnd w:id="0"/>
            <w:r>
              <w:rPr>
                <w:rFonts w:cs="Arial"/>
              </w:rPr>
              <w:t xml:space="preserve"> January 2020</w:t>
            </w:r>
          </w:p>
        </w:tc>
      </w:tr>
      <w:tr w:rsidR="002A2389" w14:paraId="7737A77B" w14:textId="77777777" w:rsidTr="00362D11">
        <w:tc>
          <w:tcPr>
            <w:tcW w:w="3456" w:type="dxa"/>
          </w:tcPr>
          <w:p w14:paraId="155CA2E2"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1DE16EBA" w14:textId="77777777" w:rsidR="002A2389" w:rsidRPr="00F92398" w:rsidRDefault="002A2389">
            <w:pPr>
              <w:pStyle w:val="Infotext"/>
              <w:rPr>
                <w:rFonts w:ascii="Arial Black" w:hAnsi="Arial Black"/>
              </w:rPr>
            </w:pPr>
          </w:p>
        </w:tc>
        <w:tc>
          <w:tcPr>
            <w:tcW w:w="5508" w:type="dxa"/>
            <w:gridSpan w:val="2"/>
          </w:tcPr>
          <w:p w14:paraId="6C619901" w14:textId="77777777" w:rsidR="002A2389" w:rsidRDefault="006B306F">
            <w:pPr>
              <w:pStyle w:val="Infotext"/>
              <w:rPr>
                <w:rFonts w:cs="Arial"/>
              </w:rPr>
            </w:pPr>
            <w:r w:rsidRPr="001F07CC">
              <w:rPr>
                <w:rFonts w:cs="Arial"/>
              </w:rPr>
              <w:t xml:space="preserve">Supporting </w:t>
            </w:r>
            <w:r>
              <w:rPr>
                <w:rFonts w:cs="Arial"/>
              </w:rPr>
              <w:t>P</w:t>
            </w:r>
            <w:r w:rsidRPr="001F07CC">
              <w:rPr>
                <w:rFonts w:cs="Arial"/>
              </w:rPr>
              <w:t xml:space="preserve">eople on a Section 117 (S117) </w:t>
            </w:r>
            <w:r>
              <w:rPr>
                <w:rFonts w:cs="Arial"/>
              </w:rPr>
              <w:t>P</w:t>
            </w:r>
            <w:r w:rsidRPr="001F07CC">
              <w:rPr>
                <w:rFonts w:cs="Arial"/>
              </w:rPr>
              <w:t>lan</w:t>
            </w:r>
          </w:p>
        </w:tc>
      </w:tr>
      <w:tr w:rsidR="002A2389" w14:paraId="52125CEF" w14:textId="77777777" w:rsidTr="00362D11">
        <w:tc>
          <w:tcPr>
            <w:tcW w:w="3456" w:type="dxa"/>
          </w:tcPr>
          <w:p w14:paraId="2D211E15"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6A8BE3F8" w14:textId="77777777" w:rsidR="002A2389" w:rsidRPr="00F92398" w:rsidRDefault="002A2389">
            <w:pPr>
              <w:pStyle w:val="Infotext"/>
              <w:rPr>
                <w:rFonts w:ascii="Arial Black" w:hAnsi="Arial Black" w:cs="Arial"/>
              </w:rPr>
            </w:pPr>
          </w:p>
        </w:tc>
        <w:tc>
          <w:tcPr>
            <w:tcW w:w="5508" w:type="dxa"/>
            <w:gridSpan w:val="2"/>
          </w:tcPr>
          <w:p w14:paraId="13B580DB" w14:textId="77777777" w:rsidR="006B306F" w:rsidRDefault="006B306F" w:rsidP="006B306F">
            <w:pPr>
              <w:pStyle w:val="Infotext"/>
              <w:rPr>
                <w:rFonts w:cs="Arial"/>
              </w:rPr>
            </w:pPr>
            <w:r>
              <w:rPr>
                <w:rFonts w:cs="Arial"/>
              </w:rPr>
              <w:t>Joint Report:</w:t>
            </w:r>
          </w:p>
          <w:p w14:paraId="351D0A48" w14:textId="77777777" w:rsidR="006B306F" w:rsidRDefault="006B306F" w:rsidP="006B306F">
            <w:pPr>
              <w:pStyle w:val="Infotext"/>
              <w:rPr>
                <w:rFonts w:cs="Arial"/>
              </w:rPr>
            </w:pPr>
          </w:p>
          <w:p w14:paraId="362032E4" w14:textId="77777777" w:rsidR="006B306F" w:rsidRDefault="006B306F" w:rsidP="006B306F">
            <w:pPr>
              <w:pStyle w:val="Infotext"/>
              <w:rPr>
                <w:rFonts w:cs="Arial"/>
              </w:rPr>
            </w:pPr>
            <w:r>
              <w:rPr>
                <w:rFonts w:cs="Arial"/>
              </w:rPr>
              <w:t>Javina Sehgal , Managing Director,</w:t>
            </w:r>
          </w:p>
          <w:p w14:paraId="0C4D1A4A" w14:textId="77777777" w:rsidR="006B306F" w:rsidRDefault="006B306F" w:rsidP="006B306F">
            <w:pPr>
              <w:pStyle w:val="Infotext"/>
              <w:rPr>
                <w:rFonts w:cs="Arial"/>
              </w:rPr>
            </w:pPr>
            <w:r>
              <w:rPr>
                <w:rFonts w:cs="Arial"/>
              </w:rPr>
              <w:t xml:space="preserve">Harrow CCG </w:t>
            </w:r>
          </w:p>
          <w:p w14:paraId="04F64AF9" w14:textId="77777777" w:rsidR="006B306F" w:rsidRDefault="006B306F" w:rsidP="006B306F">
            <w:pPr>
              <w:pStyle w:val="Infotext"/>
              <w:rPr>
                <w:rFonts w:cs="Arial"/>
              </w:rPr>
            </w:pPr>
          </w:p>
          <w:p w14:paraId="77A6EDDF" w14:textId="77777777" w:rsidR="006B306F" w:rsidRDefault="006B306F" w:rsidP="006B306F">
            <w:pPr>
              <w:pStyle w:val="Infotext"/>
              <w:rPr>
                <w:rFonts w:cs="Arial"/>
              </w:rPr>
            </w:pPr>
            <w:r w:rsidRPr="001F07CC">
              <w:rPr>
                <w:rFonts w:cs="Arial"/>
              </w:rPr>
              <w:t>Paul Hewitt</w:t>
            </w:r>
            <w:r>
              <w:rPr>
                <w:rFonts w:cs="Arial"/>
              </w:rPr>
              <w:t>,</w:t>
            </w:r>
            <w:r w:rsidRPr="001F07CC">
              <w:rPr>
                <w:rFonts w:cs="Arial"/>
              </w:rPr>
              <w:t xml:space="preserve"> Corporate Director</w:t>
            </w:r>
            <w:r>
              <w:rPr>
                <w:rFonts w:cs="Arial"/>
              </w:rPr>
              <w:t xml:space="preserve">, </w:t>
            </w:r>
          </w:p>
          <w:p w14:paraId="5A0085C9" w14:textId="77777777" w:rsidR="006B306F" w:rsidRDefault="006B306F" w:rsidP="006B306F">
            <w:pPr>
              <w:pStyle w:val="Infotext"/>
              <w:rPr>
                <w:rFonts w:cs="Arial"/>
              </w:rPr>
            </w:pPr>
            <w:r>
              <w:rPr>
                <w:rFonts w:cs="Arial"/>
              </w:rPr>
              <w:t xml:space="preserve">People Services, </w:t>
            </w:r>
            <w:r w:rsidRPr="001F07CC">
              <w:rPr>
                <w:rFonts w:cs="Arial"/>
              </w:rPr>
              <w:t xml:space="preserve">Harrow </w:t>
            </w:r>
            <w:r>
              <w:rPr>
                <w:rFonts w:cs="Arial"/>
              </w:rPr>
              <w:t xml:space="preserve">Council, </w:t>
            </w:r>
          </w:p>
          <w:p w14:paraId="611960EF" w14:textId="77777777" w:rsidR="006B306F" w:rsidRDefault="006B306F" w:rsidP="006B306F">
            <w:pPr>
              <w:pStyle w:val="Infotext"/>
              <w:rPr>
                <w:rFonts w:cs="Arial"/>
              </w:rPr>
            </w:pPr>
            <w:r w:rsidRPr="001F07CC">
              <w:rPr>
                <w:rFonts w:cs="Arial"/>
              </w:rPr>
              <w:t>Local Authority (LA)</w:t>
            </w:r>
          </w:p>
          <w:p w14:paraId="25A8A6C3" w14:textId="77777777" w:rsidR="007D56C8" w:rsidRDefault="007D56C8">
            <w:pPr>
              <w:pStyle w:val="Infotext"/>
              <w:rPr>
                <w:rFonts w:cs="Arial"/>
              </w:rPr>
            </w:pPr>
          </w:p>
        </w:tc>
      </w:tr>
      <w:tr w:rsidR="002A2389" w14:paraId="77912E4D" w14:textId="77777777" w:rsidTr="00362D11">
        <w:tc>
          <w:tcPr>
            <w:tcW w:w="3456" w:type="dxa"/>
          </w:tcPr>
          <w:p w14:paraId="25840B5A"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55B43CF5" w14:textId="77777777" w:rsidR="002A2389" w:rsidRPr="00F92398" w:rsidRDefault="002A2389">
            <w:pPr>
              <w:pStyle w:val="Infotext"/>
              <w:rPr>
                <w:rFonts w:ascii="Arial Black" w:hAnsi="Arial Black" w:cs="Arial"/>
              </w:rPr>
            </w:pPr>
          </w:p>
        </w:tc>
        <w:tc>
          <w:tcPr>
            <w:tcW w:w="5508" w:type="dxa"/>
            <w:gridSpan w:val="2"/>
          </w:tcPr>
          <w:p w14:paraId="7E9364DB" w14:textId="77777777" w:rsidR="002A2389" w:rsidRDefault="002A2389" w:rsidP="006B306F">
            <w:pPr>
              <w:pStyle w:val="Infotext"/>
              <w:rPr>
                <w:rFonts w:cs="Arial"/>
              </w:rPr>
            </w:pPr>
            <w:r>
              <w:rPr>
                <w:rFonts w:cs="Arial"/>
              </w:rPr>
              <w:t>Yes</w:t>
            </w:r>
          </w:p>
        </w:tc>
      </w:tr>
      <w:tr w:rsidR="00A51FAE" w14:paraId="6B183A0E" w14:textId="77777777" w:rsidTr="00362D11">
        <w:tc>
          <w:tcPr>
            <w:tcW w:w="3456" w:type="dxa"/>
          </w:tcPr>
          <w:p w14:paraId="17AA2CD9" w14:textId="77777777" w:rsidR="00A51FAE" w:rsidRDefault="00A51FAE">
            <w:pPr>
              <w:pStyle w:val="Infotext"/>
              <w:rPr>
                <w:rFonts w:ascii="Arial Black" w:hAnsi="Arial Black" w:cs="Arial"/>
              </w:rPr>
            </w:pPr>
            <w:r>
              <w:rPr>
                <w:rFonts w:ascii="Arial Black" w:hAnsi="Arial Black" w:cs="Arial"/>
              </w:rPr>
              <w:t>Wards affected:</w:t>
            </w:r>
          </w:p>
          <w:p w14:paraId="76873175" w14:textId="77777777" w:rsidR="00A51FAE" w:rsidRPr="00F92398" w:rsidRDefault="00A51FAE">
            <w:pPr>
              <w:pStyle w:val="Infotext"/>
              <w:rPr>
                <w:rFonts w:ascii="Arial Black" w:hAnsi="Arial Black" w:cs="Arial"/>
              </w:rPr>
            </w:pPr>
          </w:p>
        </w:tc>
        <w:tc>
          <w:tcPr>
            <w:tcW w:w="5508" w:type="dxa"/>
            <w:gridSpan w:val="2"/>
          </w:tcPr>
          <w:p w14:paraId="3B815149" w14:textId="77777777" w:rsidR="00A50388" w:rsidRPr="00A50388" w:rsidRDefault="006B306F">
            <w:pPr>
              <w:pStyle w:val="Infotext"/>
              <w:rPr>
                <w:b/>
                <w:color w:val="FF0000"/>
              </w:rPr>
            </w:pPr>
            <w:r w:rsidRPr="001F07CC">
              <w:t>All Wards</w:t>
            </w:r>
          </w:p>
        </w:tc>
      </w:tr>
      <w:tr w:rsidR="002A2389" w14:paraId="2502F313" w14:textId="77777777" w:rsidTr="00362D11">
        <w:tc>
          <w:tcPr>
            <w:tcW w:w="3456" w:type="dxa"/>
          </w:tcPr>
          <w:p w14:paraId="1B781171" w14:textId="77777777" w:rsidR="002A2389" w:rsidRPr="00F92398" w:rsidRDefault="002A2389">
            <w:pPr>
              <w:pStyle w:val="Infotext"/>
              <w:rPr>
                <w:rFonts w:ascii="Arial Black" w:hAnsi="Arial Black" w:cs="Arial"/>
              </w:rPr>
            </w:pPr>
          </w:p>
          <w:p w14:paraId="6841D452"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407B3770" w14:textId="77777777" w:rsidR="002A2389" w:rsidRPr="00F92398" w:rsidRDefault="002A2389">
            <w:pPr>
              <w:pStyle w:val="Infotext"/>
              <w:rPr>
                <w:rFonts w:ascii="Arial Black" w:hAnsi="Arial Black" w:cs="Arial"/>
              </w:rPr>
            </w:pPr>
          </w:p>
        </w:tc>
        <w:tc>
          <w:tcPr>
            <w:tcW w:w="5508" w:type="dxa"/>
            <w:gridSpan w:val="2"/>
          </w:tcPr>
          <w:p w14:paraId="520AA1DF" w14:textId="77777777" w:rsidR="002A2389" w:rsidRDefault="002A2389">
            <w:pPr>
              <w:pStyle w:val="Infotext"/>
            </w:pPr>
          </w:p>
          <w:p w14:paraId="7CF0CE36" w14:textId="77777777" w:rsidR="006B306F" w:rsidRPr="001F07CC" w:rsidRDefault="006B306F" w:rsidP="006B306F">
            <w:pPr>
              <w:pStyle w:val="Infotext"/>
            </w:pPr>
            <w:r w:rsidRPr="001F07CC">
              <w:t>S117 panel Terms of Reference</w:t>
            </w:r>
          </w:p>
          <w:p w14:paraId="3D23E487" w14:textId="77777777" w:rsidR="002A2389" w:rsidRDefault="006B306F" w:rsidP="006B306F">
            <w:pPr>
              <w:pStyle w:val="Infotext"/>
            </w:pPr>
            <w:r>
              <w:t>S 117 Matrices</w:t>
            </w:r>
          </w:p>
        </w:tc>
      </w:tr>
    </w:tbl>
    <w:p w14:paraId="7D33E62F" w14:textId="77777777" w:rsidR="002A2389" w:rsidRDefault="002A2389">
      <w:pPr>
        <w:rPr>
          <w:rFonts w:cs="Arial"/>
        </w:rPr>
      </w:pPr>
    </w:p>
    <w:p w14:paraId="4B128173"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54497B66" w14:textId="77777777">
        <w:tc>
          <w:tcPr>
            <w:tcW w:w="8897" w:type="dxa"/>
            <w:tcBorders>
              <w:top w:val="nil"/>
              <w:left w:val="nil"/>
              <w:right w:val="nil"/>
            </w:tcBorders>
          </w:tcPr>
          <w:p w14:paraId="1FFCF3AB" w14:textId="77777777" w:rsidR="00675FCB" w:rsidRDefault="00675FCB" w:rsidP="00675FCB">
            <w:pPr>
              <w:pStyle w:val="Heading1"/>
            </w:pPr>
            <w:r>
              <w:t>Section 1 – Summary and Recommendations</w:t>
            </w:r>
          </w:p>
          <w:p w14:paraId="461CA742" w14:textId="77777777" w:rsidR="00675FCB" w:rsidRDefault="00675FCB"/>
        </w:tc>
      </w:tr>
      <w:tr w:rsidR="002A2389" w14:paraId="04038A3A" w14:textId="77777777">
        <w:tc>
          <w:tcPr>
            <w:tcW w:w="8897" w:type="dxa"/>
          </w:tcPr>
          <w:p w14:paraId="220FCB87" w14:textId="77777777" w:rsidR="002A2389" w:rsidRDefault="002A2389"/>
          <w:p w14:paraId="52FFBADB" w14:textId="77777777" w:rsidR="002A2389" w:rsidRDefault="002A2389"/>
          <w:p w14:paraId="37B041F8" w14:textId="77777777" w:rsidR="006B306F" w:rsidRPr="001F07CC" w:rsidRDefault="006B306F" w:rsidP="006B306F">
            <w:pPr>
              <w:rPr>
                <w:rFonts w:cs="Arial"/>
                <w:szCs w:val="24"/>
              </w:rPr>
            </w:pPr>
            <w:r w:rsidRPr="001F07CC">
              <w:rPr>
                <w:rFonts w:cs="Arial"/>
                <w:szCs w:val="24"/>
              </w:rPr>
              <w:t>This report sets out the agreed approach to supporting people placed on Section 117</w:t>
            </w:r>
            <w:r>
              <w:rPr>
                <w:rFonts w:cs="Arial"/>
                <w:szCs w:val="24"/>
              </w:rPr>
              <w:t xml:space="preserve"> of the </w:t>
            </w:r>
            <w:r w:rsidRPr="001F07CC">
              <w:rPr>
                <w:rFonts w:cs="Arial"/>
                <w:bCs/>
                <w:szCs w:val="24"/>
              </w:rPr>
              <w:t>Mental Health Act 1983</w:t>
            </w:r>
            <w:r w:rsidRPr="001F07CC">
              <w:rPr>
                <w:rFonts w:cs="Arial"/>
                <w:szCs w:val="24"/>
              </w:rPr>
              <w:t>, requiring after hospital care health and or social care support.</w:t>
            </w:r>
          </w:p>
          <w:p w14:paraId="7FDF9BD6" w14:textId="77777777" w:rsidR="002A2389" w:rsidRDefault="002A2389">
            <w:pPr>
              <w:pStyle w:val="Heading2"/>
            </w:pPr>
          </w:p>
          <w:p w14:paraId="406A4B4A" w14:textId="4C7AA48C" w:rsidR="006B306F" w:rsidRPr="001F07CC" w:rsidRDefault="006B306F" w:rsidP="006B306F">
            <w:pPr>
              <w:rPr>
                <w:rFonts w:cs="Arial"/>
                <w:b/>
                <w:sz w:val="32"/>
                <w:szCs w:val="32"/>
              </w:rPr>
            </w:pPr>
            <w:r w:rsidRPr="001F07CC">
              <w:rPr>
                <w:rFonts w:cs="Arial"/>
                <w:b/>
                <w:sz w:val="32"/>
                <w:szCs w:val="32"/>
              </w:rPr>
              <w:t>FOR INFORMATION</w:t>
            </w:r>
            <w:r w:rsidR="001444D4">
              <w:rPr>
                <w:rFonts w:cs="Arial"/>
                <w:b/>
                <w:sz w:val="32"/>
                <w:szCs w:val="32"/>
              </w:rPr>
              <w:t xml:space="preserve"> ONLY</w:t>
            </w:r>
          </w:p>
          <w:p w14:paraId="48D73B1C" w14:textId="77777777" w:rsidR="002A2389" w:rsidRDefault="002A2389">
            <w:pPr>
              <w:jc w:val="both"/>
              <w:rPr>
                <w:rFonts w:cs="Arial"/>
              </w:rPr>
            </w:pPr>
          </w:p>
        </w:tc>
      </w:tr>
    </w:tbl>
    <w:p w14:paraId="16DA7983" w14:textId="77777777"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14:paraId="56745108" w14:textId="77777777" w:rsidR="002A2389" w:rsidRDefault="002A2389">
      <w:pPr>
        <w:pStyle w:val="Heading1"/>
        <w:jc w:val="both"/>
      </w:pPr>
      <w:r>
        <w:lastRenderedPageBreak/>
        <w:br w:type="page"/>
      </w:r>
      <w:r>
        <w:lastRenderedPageBreak/>
        <w:t>Section 2 – Report</w:t>
      </w:r>
    </w:p>
    <w:p w14:paraId="475593D2" w14:textId="77777777" w:rsidR="00BE1C78" w:rsidRDefault="00BE1C78">
      <w:pPr>
        <w:pStyle w:val="Heading2"/>
        <w:rPr>
          <w:color w:val="0000FF"/>
        </w:rPr>
      </w:pPr>
    </w:p>
    <w:p w14:paraId="3914B90E" w14:textId="77777777" w:rsidR="006B306F" w:rsidRPr="001F07CC" w:rsidRDefault="006B306F" w:rsidP="006B306F">
      <w:pPr>
        <w:pStyle w:val="Heading2"/>
        <w:rPr>
          <w:b w:val="0"/>
          <w:bCs w:val="0"/>
        </w:rPr>
      </w:pPr>
      <w:r w:rsidRPr="00821231">
        <w:rPr>
          <w:sz w:val="24"/>
          <w:szCs w:val="24"/>
        </w:rPr>
        <w:t>Background</w:t>
      </w:r>
      <w:r w:rsidRPr="001F07CC">
        <w:rPr>
          <w:b w:val="0"/>
          <w:sz w:val="24"/>
          <w:szCs w:val="24"/>
        </w:rPr>
        <w:t xml:space="preserve"> </w:t>
      </w:r>
      <w:r>
        <w:rPr>
          <w:b w:val="0"/>
          <w:sz w:val="24"/>
          <w:szCs w:val="24"/>
        </w:rPr>
        <w:t xml:space="preserve">- </w:t>
      </w:r>
      <w:r w:rsidRPr="009233FF">
        <w:rPr>
          <w:b w:val="0"/>
          <w:bCs w:val="0"/>
          <w:sz w:val="24"/>
          <w:szCs w:val="24"/>
        </w:rPr>
        <w:t>The Mental Health Act 1983, Section 117:</w:t>
      </w:r>
    </w:p>
    <w:p w14:paraId="6B0C18CA" w14:textId="77777777" w:rsidR="006B306F" w:rsidRPr="001F07CC" w:rsidRDefault="006B306F" w:rsidP="006B306F">
      <w:pPr>
        <w:pStyle w:val="Default"/>
        <w:ind w:left="360"/>
        <w:rPr>
          <w:b/>
          <w:bCs/>
          <w:color w:val="auto"/>
        </w:rPr>
      </w:pPr>
    </w:p>
    <w:p w14:paraId="4A1FDAE5" w14:textId="77777777" w:rsidR="006B306F" w:rsidRPr="001F07CC" w:rsidRDefault="006B306F" w:rsidP="006B306F">
      <w:pPr>
        <w:pStyle w:val="Default"/>
        <w:numPr>
          <w:ilvl w:val="0"/>
          <w:numId w:val="15"/>
        </w:numPr>
        <w:ind w:left="142" w:firstLine="0"/>
        <w:jc w:val="both"/>
        <w:rPr>
          <w:bCs/>
          <w:color w:val="auto"/>
        </w:rPr>
      </w:pPr>
      <w:r w:rsidRPr="001F07CC">
        <w:rPr>
          <w:bCs/>
          <w:color w:val="auto"/>
        </w:rPr>
        <w:t>Section 117 imposes an enforceable duty to provide after care service for people who have been detained under treatment section of the Mental Health Act.</w:t>
      </w:r>
    </w:p>
    <w:p w14:paraId="431D510B" w14:textId="77777777" w:rsidR="006B306F" w:rsidRPr="001F07CC" w:rsidRDefault="006B306F" w:rsidP="006B306F">
      <w:pPr>
        <w:pStyle w:val="Default"/>
        <w:ind w:left="142"/>
        <w:jc w:val="both"/>
        <w:rPr>
          <w:bCs/>
          <w:color w:val="auto"/>
        </w:rPr>
      </w:pPr>
    </w:p>
    <w:p w14:paraId="56BAE245" w14:textId="77777777" w:rsidR="006B306F" w:rsidRPr="001F07CC" w:rsidRDefault="006B306F" w:rsidP="006B306F">
      <w:pPr>
        <w:pStyle w:val="Default"/>
        <w:numPr>
          <w:ilvl w:val="0"/>
          <w:numId w:val="15"/>
        </w:numPr>
        <w:ind w:left="142" w:firstLine="0"/>
        <w:jc w:val="both"/>
        <w:rPr>
          <w:color w:val="auto"/>
        </w:rPr>
      </w:pPr>
      <w:r w:rsidRPr="001F07CC">
        <w:rPr>
          <w:bCs/>
          <w:color w:val="auto"/>
        </w:rPr>
        <w:t>Section 117 is free standing duty which places upon CCG (depending on the nature of the service), and LA, a statutory joint duty to work together, in cooperation with relevant voluntary agencies, to provide after care services for all service users with S117 rights.</w:t>
      </w:r>
    </w:p>
    <w:p w14:paraId="5A8751A6" w14:textId="77777777" w:rsidR="006B306F" w:rsidRPr="001F07CC" w:rsidRDefault="006B306F" w:rsidP="006B306F">
      <w:pPr>
        <w:pStyle w:val="Default"/>
        <w:ind w:left="142"/>
        <w:rPr>
          <w:b/>
          <w:color w:val="00B0F0"/>
        </w:rPr>
      </w:pPr>
    </w:p>
    <w:p w14:paraId="1A418777" w14:textId="0138E450" w:rsidR="00110F14" w:rsidRPr="001F07CC" w:rsidRDefault="006B306F" w:rsidP="006B306F">
      <w:pPr>
        <w:pStyle w:val="Default"/>
        <w:numPr>
          <w:ilvl w:val="0"/>
          <w:numId w:val="14"/>
        </w:numPr>
        <w:ind w:left="142" w:firstLine="0"/>
        <w:rPr>
          <w:color w:val="auto"/>
        </w:rPr>
      </w:pPr>
      <w:r w:rsidRPr="001F07CC">
        <w:t>This document sets out the process agreed between Harrow CCG, Harrow LA and Central and North West London (CNWL) to manage those in receipt of Section 117 care and support.</w:t>
      </w:r>
    </w:p>
    <w:p w14:paraId="7C34DF30" w14:textId="77777777" w:rsidR="006B306F" w:rsidRPr="001F07CC" w:rsidRDefault="006B306F" w:rsidP="006B306F">
      <w:pPr>
        <w:rPr>
          <w:rFonts w:cs="Arial"/>
          <w:szCs w:val="24"/>
        </w:rPr>
      </w:pPr>
    </w:p>
    <w:p w14:paraId="13632462" w14:textId="058FA3AA" w:rsidR="006B306F" w:rsidRPr="00821231" w:rsidRDefault="006B306F" w:rsidP="006B306F">
      <w:pPr>
        <w:pStyle w:val="Heading2"/>
        <w:rPr>
          <w:sz w:val="24"/>
          <w:szCs w:val="24"/>
        </w:rPr>
      </w:pPr>
      <w:r w:rsidRPr="00821231">
        <w:rPr>
          <w:sz w:val="24"/>
          <w:szCs w:val="24"/>
        </w:rPr>
        <w:t>Current situation</w:t>
      </w:r>
    </w:p>
    <w:p w14:paraId="5D778576" w14:textId="0FBA33EC" w:rsidR="006B306F" w:rsidRPr="001F07CC" w:rsidRDefault="006B306F" w:rsidP="006B306F">
      <w:pPr>
        <w:rPr>
          <w:rFonts w:cs="Arial"/>
          <w:szCs w:val="24"/>
        </w:rPr>
      </w:pPr>
      <w:r w:rsidRPr="001F07CC">
        <w:rPr>
          <w:rFonts w:cs="Arial"/>
          <w:szCs w:val="24"/>
        </w:rPr>
        <w:t xml:space="preserve">People under S117 have </w:t>
      </w:r>
      <w:r w:rsidR="00C22D14" w:rsidRPr="001F07CC">
        <w:rPr>
          <w:rFonts w:cs="Arial"/>
          <w:szCs w:val="24"/>
        </w:rPr>
        <w:t xml:space="preserve">an individual care package which </w:t>
      </w:r>
      <w:r w:rsidR="00C22D14">
        <w:rPr>
          <w:rFonts w:cs="Arial"/>
          <w:szCs w:val="24"/>
        </w:rPr>
        <w:t>is</w:t>
      </w:r>
      <w:r w:rsidRPr="001F07CC">
        <w:rPr>
          <w:rFonts w:cs="Arial"/>
          <w:szCs w:val="24"/>
        </w:rPr>
        <w:t xml:space="preserve"> reviewed at least annu</w:t>
      </w:r>
      <w:r w:rsidR="00C22D14">
        <w:rPr>
          <w:rFonts w:cs="Arial"/>
          <w:szCs w:val="24"/>
        </w:rPr>
        <w:t>ally as part of their care</w:t>
      </w:r>
      <w:r w:rsidRPr="001F07CC">
        <w:rPr>
          <w:rFonts w:cs="Arial"/>
          <w:szCs w:val="24"/>
        </w:rPr>
        <w:t xml:space="preserve"> programme approach (CPA). At the CPA the individual and the multi-disciplinary team (MDT) will establish:</w:t>
      </w:r>
    </w:p>
    <w:p w14:paraId="4D47F31B" w14:textId="77777777" w:rsidR="006B306F" w:rsidRPr="001F07CC" w:rsidRDefault="006B306F" w:rsidP="006B306F">
      <w:pPr>
        <w:rPr>
          <w:rFonts w:cs="Arial"/>
          <w:szCs w:val="24"/>
        </w:rPr>
      </w:pPr>
    </w:p>
    <w:p w14:paraId="5C463A95" w14:textId="77777777" w:rsidR="006B306F" w:rsidRPr="001F07CC" w:rsidRDefault="006B306F" w:rsidP="006B306F">
      <w:pPr>
        <w:numPr>
          <w:ilvl w:val="0"/>
          <w:numId w:val="14"/>
        </w:numPr>
        <w:rPr>
          <w:rFonts w:cs="Arial"/>
          <w:szCs w:val="24"/>
        </w:rPr>
      </w:pPr>
      <w:r w:rsidRPr="001F07CC">
        <w:rPr>
          <w:rFonts w:cs="Arial"/>
          <w:szCs w:val="24"/>
        </w:rPr>
        <w:t>Whether the individual is still eligible under the s117</w:t>
      </w:r>
    </w:p>
    <w:p w14:paraId="0D4255ED" w14:textId="34429BCA" w:rsidR="006B306F" w:rsidRPr="001F07CC" w:rsidRDefault="006B306F" w:rsidP="006B306F">
      <w:pPr>
        <w:numPr>
          <w:ilvl w:val="0"/>
          <w:numId w:val="14"/>
        </w:numPr>
        <w:rPr>
          <w:rFonts w:cs="Arial"/>
          <w:szCs w:val="24"/>
        </w:rPr>
      </w:pPr>
      <w:r w:rsidRPr="001F07CC">
        <w:rPr>
          <w:rFonts w:cs="Arial"/>
          <w:szCs w:val="24"/>
        </w:rPr>
        <w:t>If the individual is eligible, their needs are reviewed and a plan of care agreed</w:t>
      </w:r>
      <w:r w:rsidR="00110F14">
        <w:rPr>
          <w:rFonts w:cs="Arial"/>
          <w:szCs w:val="24"/>
        </w:rPr>
        <w:t xml:space="preserve"> across both health and social care</w:t>
      </w:r>
    </w:p>
    <w:p w14:paraId="44E718E0" w14:textId="43426B78" w:rsidR="006B306F" w:rsidRPr="001F07CC" w:rsidRDefault="006B306F" w:rsidP="006B306F">
      <w:pPr>
        <w:numPr>
          <w:ilvl w:val="0"/>
          <w:numId w:val="14"/>
        </w:numPr>
        <w:rPr>
          <w:rFonts w:cs="Arial"/>
          <w:szCs w:val="24"/>
        </w:rPr>
      </w:pPr>
      <w:r w:rsidRPr="001F07CC">
        <w:rPr>
          <w:rFonts w:cs="Arial"/>
          <w:szCs w:val="24"/>
        </w:rPr>
        <w:t>T</w:t>
      </w:r>
      <w:r w:rsidR="00C22D14">
        <w:rPr>
          <w:rFonts w:cs="Arial"/>
          <w:szCs w:val="24"/>
        </w:rPr>
        <w:t>he funding of the care package wa</w:t>
      </w:r>
      <w:r w:rsidRPr="001F07CC">
        <w:rPr>
          <w:rFonts w:cs="Arial"/>
          <w:szCs w:val="24"/>
        </w:rPr>
        <w:t xml:space="preserve">s </w:t>
      </w:r>
      <w:r w:rsidR="00C22D14">
        <w:rPr>
          <w:rFonts w:cs="Arial"/>
          <w:szCs w:val="24"/>
        </w:rPr>
        <w:t>previous</w:t>
      </w:r>
      <w:r w:rsidRPr="001F07CC">
        <w:rPr>
          <w:rFonts w:cs="Arial"/>
          <w:szCs w:val="24"/>
        </w:rPr>
        <w:t>ly split 50:50 between the commissioning organisations, regardless of whether the needs are health or social care needs</w:t>
      </w:r>
      <w:r w:rsidR="00821231">
        <w:rPr>
          <w:rFonts w:cs="Arial"/>
          <w:szCs w:val="24"/>
        </w:rPr>
        <w:t xml:space="preserve">. </w:t>
      </w:r>
      <w:r w:rsidR="00821231">
        <w:t>The historic funding split largely reflected need and enabled joint packages of care to be set up expediently</w:t>
      </w:r>
      <w:r w:rsidRPr="001F07CC">
        <w:rPr>
          <w:rFonts w:cs="Arial"/>
          <w:szCs w:val="24"/>
        </w:rPr>
        <w:t>.</w:t>
      </w:r>
      <w:r w:rsidR="00C22D14">
        <w:rPr>
          <w:rFonts w:cs="Arial"/>
          <w:szCs w:val="24"/>
        </w:rPr>
        <w:t xml:space="preserve"> We now have fully implemented a funding matrix which correctly reflects costs against health or social care needs</w:t>
      </w:r>
      <w:r w:rsidR="00821231">
        <w:rPr>
          <w:rFonts w:cs="Arial"/>
          <w:szCs w:val="24"/>
        </w:rPr>
        <w:t xml:space="preserve"> by applying a financial formula to the needs of the citizen</w:t>
      </w:r>
      <w:r w:rsidR="00C22D14">
        <w:rPr>
          <w:rFonts w:cs="Arial"/>
          <w:szCs w:val="24"/>
        </w:rPr>
        <w:t>.</w:t>
      </w:r>
    </w:p>
    <w:p w14:paraId="70B2108E" w14:textId="77777777" w:rsidR="006B306F" w:rsidRPr="001F07CC" w:rsidRDefault="006B306F" w:rsidP="006B306F">
      <w:pPr>
        <w:rPr>
          <w:rFonts w:cs="Arial"/>
          <w:szCs w:val="24"/>
        </w:rPr>
      </w:pPr>
    </w:p>
    <w:p w14:paraId="7A3206DA" w14:textId="7DC51A4B" w:rsidR="006B306F" w:rsidRPr="001F07CC" w:rsidRDefault="00C22D14" w:rsidP="006B306F">
      <w:pPr>
        <w:rPr>
          <w:rFonts w:cs="Arial"/>
          <w:szCs w:val="24"/>
        </w:rPr>
      </w:pPr>
      <w:r>
        <w:rPr>
          <w:rFonts w:cs="Arial"/>
          <w:szCs w:val="24"/>
        </w:rPr>
        <w:t>Whilst we have</w:t>
      </w:r>
      <w:r w:rsidR="006B306F" w:rsidRPr="001F07CC">
        <w:rPr>
          <w:rFonts w:cs="Arial"/>
          <w:szCs w:val="24"/>
        </w:rPr>
        <w:t xml:space="preserve"> maintain</w:t>
      </w:r>
      <w:r>
        <w:rPr>
          <w:rFonts w:cs="Arial"/>
          <w:szCs w:val="24"/>
        </w:rPr>
        <w:t>ed</w:t>
      </w:r>
      <w:r w:rsidR="006B306F" w:rsidRPr="001F07CC">
        <w:rPr>
          <w:rFonts w:cs="Arial"/>
          <w:szCs w:val="24"/>
        </w:rPr>
        <w:t xml:space="preserve"> step one and two above, the funding arrangements </w:t>
      </w:r>
      <w:r>
        <w:rPr>
          <w:rFonts w:cs="Arial"/>
          <w:szCs w:val="24"/>
        </w:rPr>
        <w:t>are now split according to</w:t>
      </w:r>
      <w:r w:rsidR="006B306F" w:rsidRPr="001F07CC">
        <w:rPr>
          <w:rFonts w:cs="Arial"/>
          <w:szCs w:val="24"/>
        </w:rPr>
        <w:t xml:space="preserve"> a</w:t>
      </w:r>
      <w:r>
        <w:rPr>
          <w:rFonts w:cs="Arial"/>
          <w:szCs w:val="24"/>
        </w:rPr>
        <w:t xml:space="preserve"> matrix which has changed the average split from 50:50 to 30:70 health and social care.</w:t>
      </w:r>
    </w:p>
    <w:p w14:paraId="6C3DCF5B" w14:textId="77777777" w:rsidR="006B306F" w:rsidRPr="001F07CC" w:rsidRDefault="006B306F" w:rsidP="006B306F">
      <w:pPr>
        <w:rPr>
          <w:rFonts w:cs="Arial"/>
          <w:szCs w:val="24"/>
        </w:rPr>
      </w:pPr>
    </w:p>
    <w:p w14:paraId="1A48C122" w14:textId="31E8160D" w:rsidR="006B306F" w:rsidRPr="00A7180E" w:rsidRDefault="006B306F" w:rsidP="006B306F">
      <w:pPr>
        <w:pStyle w:val="Heading2"/>
        <w:rPr>
          <w:sz w:val="24"/>
          <w:szCs w:val="24"/>
        </w:rPr>
      </w:pPr>
      <w:r w:rsidRPr="00A7180E">
        <w:rPr>
          <w:sz w:val="24"/>
          <w:szCs w:val="24"/>
        </w:rPr>
        <w:t>Wh</w:t>
      </w:r>
      <w:r w:rsidR="00C22D14" w:rsidRPr="00A7180E">
        <w:rPr>
          <w:sz w:val="24"/>
          <w:szCs w:val="24"/>
        </w:rPr>
        <w:t>at</w:t>
      </w:r>
      <w:r w:rsidRPr="00A7180E">
        <w:rPr>
          <w:sz w:val="24"/>
          <w:szCs w:val="24"/>
        </w:rPr>
        <w:t xml:space="preserve"> a</w:t>
      </w:r>
      <w:r w:rsidR="00C22D14" w:rsidRPr="00A7180E">
        <w:rPr>
          <w:sz w:val="24"/>
          <w:szCs w:val="24"/>
        </w:rPr>
        <w:t>re the benefits of the change</w:t>
      </w:r>
      <w:r w:rsidR="003B28FE" w:rsidRPr="00A7180E">
        <w:rPr>
          <w:sz w:val="24"/>
          <w:szCs w:val="24"/>
        </w:rPr>
        <w:t>?</w:t>
      </w:r>
    </w:p>
    <w:p w14:paraId="4E17DE95" w14:textId="77777777" w:rsidR="003B28FE" w:rsidRDefault="003B28FE" w:rsidP="006B306F">
      <w:pPr>
        <w:rPr>
          <w:rFonts w:cs="Arial"/>
          <w:szCs w:val="24"/>
        </w:rPr>
      </w:pPr>
    </w:p>
    <w:p w14:paraId="7425FE8E" w14:textId="73BCED5C" w:rsidR="006B306F" w:rsidRPr="001F07CC" w:rsidRDefault="006B306F" w:rsidP="006B306F">
      <w:pPr>
        <w:rPr>
          <w:rFonts w:cs="Arial"/>
          <w:szCs w:val="24"/>
        </w:rPr>
      </w:pPr>
      <w:r w:rsidRPr="001F07CC">
        <w:rPr>
          <w:rFonts w:cs="Arial"/>
          <w:szCs w:val="24"/>
        </w:rPr>
        <w:t xml:space="preserve">The matrix tool </w:t>
      </w:r>
      <w:r w:rsidR="00C22D14">
        <w:rPr>
          <w:rFonts w:cs="Arial"/>
          <w:szCs w:val="24"/>
        </w:rPr>
        <w:t>has</w:t>
      </w:r>
      <w:r w:rsidRPr="001F07CC">
        <w:rPr>
          <w:rFonts w:cs="Arial"/>
          <w:szCs w:val="24"/>
        </w:rPr>
        <w:t xml:space="preserve"> </w:t>
      </w:r>
      <w:r w:rsidR="00C22D14">
        <w:rPr>
          <w:rFonts w:cs="Arial"/>
          <w:szCs w:val="24"/>
        </w:rPr>
        <w:t xml:space="preserve">provided a formula to ensure the </w:t>
      </w:r>
      <w:r w:rsidR="003B28FE">
        <w:rPr>
          <w:rFonts w:cs="Arial"/>
          <w:szCs w:val="24"/>
        </w:rPr>
        <w:t>citizen’s</w:t>
      </w:r>
      <w:r w:rsidR="00C22D14">
        <w:rPr>
          <w:rFonts w:cs="Arial"/>
          <w:szCs w:val="24"/>
        </w:rPr>
        <w:t xml:space="preserve"> needs are correctly reflected in the support plan and</w:t>
      </w:r>
      <w:r w:rsidRPr="001F07CC">
        <w:rPr>
          <w:rFonts w:cs="Arial"/>
          <w:szCs w:val="24"/>
        </w:rPr>
        <w:t xml:space="preserve"> are being met </w:t>
      </w:r>
      <w:r w:rsidR="00C22D14">
        <w:rPr>
          <w:rFonts w:cs="Arial"/>
          <w:szCs w:val="24"/>
        </w:rPr>
        <w:t>fully with</w:t>
      </w:r>
      <w:r w:rsidRPr="001F07CC">
        <w:rPr>
          <w:rFonts w:cs="Arial"/>
          <w:szCs w:val="24"/>
        </w:rPr>
        <w:t xml:space="preserve"> the appropriate funding arran</w:t>
      </w:r>
      <w:r w:rsidR="00C22D14">
        <w:rPr>
          <w:rFonts w:cs="Arial"/>
          <w:szCs w:val="24"/>
        </w:rPr>
        <w:t xml:space="preserve">gement </w:t>
      </w:r>
      <w:r w:rsidRPr="001F07CC">
        <w:rPr>
          <w:rFonts w:cs="Arial"/>
          <w:szCs w:val="24"/>
        </w:rPr>
        <w:t>in place</w:t>
      </w:r>
      <w:r w:rsidR="00C22D14">
        <w:rPr>
          <w:rFonts w:cs="Arial"/>
          <w:szCs w:val="24"/>
        </w:rPr>
        <w:t>.</w:t>
      </w:r>
    </w:p>
    <w:p w14:paraId="70A3792E" w14:textId="77777777" w:rsidR="006B306F" w:rsidRPr="001F07CC" w:rsidRDefault="006B306F" w:rsidP="006B306F">
      <w:pPr>
        <w:rPr>
          <w:rFonts w:cs="Arial"/>
          <w:szCs w:val="24"/>
        </w:rPr>
      </w:pPr>
    </w:p>
    <w:p w14:paraId="4A6CD39E" w14:textId="45F63CF3" w:rsidR="006B306F" w:rsidRPr="001F07CC" w:rsidRDefault="00C22D14" w:rsidP="006B306F">
      <w:pPr>
        <w:rPr>
          <w:rFonts w:cs="Arial"/>
          <w:szCs w:val="24"/>
        </w:rPr>
      </w:pPr>
      <w:r>
        <w:rPr>
          <w:rFonts w:cs="Arial"/>
          <w:szCs w:val="24"/>
        </w:rPr>
        <w:t>Staff have b</w:t>
      </w:r>
      <w:r w:rsidR="006B306F" w:rsidRPr="001F07CC">
        <w:rPr>
          <w:rFonts w:cs="Arial"/>
          <w:szCs w:val="24"/>
        </w:rPr>
        <w:t>e</w:t>
      </w:r>
      <w:r>
        <w:rPr>
          <w:rFonts w:cs="Arial"/>
          <w:szCs w:val="24"/>
        </w:rPr>
        <w:t>en fully</w:t>
      </w:r>
      <w:r w:rsidR="006B306F" w:rsidRPr="001F07CC">
        <w:rPr>
          <w:rFonts w:cs="Arial"/>
          <w:szCs w:val="24"/>
        </w:rPr>
        <w:t xml:space="preserve"> trained </w:t>
      </w:r>
      <w:r>
        <w:rPr>
          <w:rFonts w:cs="Arial"/>
          <w:szCs w:val="24"/>
        </w:rPr>
        <w:t>to</w:t>
      </w:r>
      <w:r w:rsidR="006B306F" w:rsidRPr="001F07CC">
        <w:rPr>
          <w:rFonts w:cs="Arial"/>
          <w:szCs w:val="24"/>
        </w:rPr>
        <w:t xml:space="preserve"> us</w:t>
      </w:r>
      <w:r>
        <w:rPr>
          <w:rFonts w:cs="Arial"/>
          <w:szCs w:val="24"/>
        </w:rPr>
        <w:t>e</w:t>
      </w:r>
      <w:r w:rsidR="006B306F" w:rsidRPr="001F07CC">
        <w:rPr>
          <w:rFonts w:cs="Arial"/>
          <w:szCs w:val="24"/>
        </w:rPr>
        <w:t xml:space="preserve"> the tool </w:t>
      </w:r>
      <w:r>
        <w:rPr>
          <w:rFonts w:cs="Arial"/>
          <w:szCs w:val="24"/>
        </w:rPr>
        <w:t xml:space="preserve">and begun </w:t>
      </w:r>
      <w:r w:rsidR="006B306F" w:rsidRPr="001F07CC">
        <w:rPr>
          <w:rFonts w:cs="Arial"/>
          <w:szCs w:val="24"/>
        </w:rPr>
        <w:t>implement</w:t>
      </w:r>
      <w:r>
        <w:rPr>
          <w:rFonts w:cs="Arial"/>
          <w:szCs w:val="24"/>
        </w:rPr>
        <w:t xml:space="preserve">ing the new approach from </w:t>
      </w:r>
      <w:r w:rsidR="000D6321">
        <w:rPr>
          <w:rFonts w:cs="Arial"/>
          <w:szCs w:val="24"/>
        </w:rPr>
        <w:t>March</w:t>
      </w:r>
      <w:r>
        <w:rPr>
          <w:rFonts w:cs="Arial"/>
          <w:szCs w:val="24"/>
        </w:rPr>
        <w:t xml:space="preserve"> 2019</w:t>
      </w:r>
      <w:r w:rsidR="006B306F" w:rsidRPr="001F07CC">
        <w:rPr>
          <w:rFonts w:cs="Arial"/>
          <w:szCs w:val="24"/>
        </w:rPr>
        <w:t>.</w:t>
      </w:r>
      <w:r>
        <w:rPr>
          <w:rFonts w:cs="Arial"/>
          <w:szCs w:val="24"/>
        </w:rPr>
        <w:t xml:space="preserve"> This new way of working has been embedded through a</w:t>
      </w:r>
      <w:r w:rsidR="00BC5FC4">
        <w:rPr>
          <w:rFonts w:cs="Arial"/>
          <w:szCs w:val="24"/>
        </w:rPr>
        <w:t xml:space="preserve"> jointly agreed S117</w:t>
      </w:r>
      <w:r>
        <w:rPr>
          <w:rFonts w:cs="Arial"/>
          <w:szCs w:val="24"/>
        </w:rPr>
        <w:t xml:space="preserve"> panel</w:t>
      </w:r>
      <w:r w:rsidR="00BC5FC4">
        <w:rPr>
          <w:rFonts w:cs="Arial"/>
          <w:szCs w:val="24"/>
        </w:rPr>
        <w:t xml:space="preserve"> and quality assurance process</w:t>
      </w:r>
    </w:p>
    <w:p w14:paraId="6078AF28" w14:textId="77777777" w:rsidR="007D7937" w:rsidRPr="001F07CC" w:rsidRDefault="007D7937" w:rsidP="006B306F">
      <w:pPr>
        <w:rPr>
          <w:rFonts w:cs="Arial"/>
          <w:szCs w:val="24"/>
        </w:rPr>
      </w:pPr>
    </w:p>
    <w:p w14:paraId="1AAB88A8" w14:textId="77777777" w:rsidR="006B306F" w:rsidRPr="00117A56" w:rsidRDefault="006B306F" w:rsidP="006B306F">
      <w:pPr>
        <w:pStyle w:val="Heading2"/>
        <w:rPr>
          <w:sz w:val="24"/>
          <w:szCs w:val="24"/>
        </w:rPr>
      </w:pPr>
      <w:r w:rsidRPr="00117A56">
        <w:rPr>
          <w:sz w:val="24"/>
          <w:szCs w:val="24"/>
        </w:rPr>
        <w:t xml:space="preserve">Implications </w:t>
      </w:r>
    </w:p>
    <w:p w14:paraId="5B654FEF" w14:textId="77777777" w:rsidR="00BC5FC4" w:rsidRDefault="00BC5FC4" w:rsidP="006B306F">
      <w:pPr>
        <w:pStyle w:val="Heading3"/>
        <w:ind w:left="0" w:firstLine="0"/>
        <w:rPr>
          <w:szCs w:val="24"/>
        </w:rPr>
      </w:pPr>
    </w:p>
    <w:p w14:paraId="41A66607" w14:textId="599507AA" w:rsidR="006B306F" w:rsidRPr="00117A56" w:rsidRDefault="006B306F" w:rsidP="006B306F">
      <w:pPr>
        <w:pStyle w:val="Heading3"/>
        <w:ind w:left="0" w:firstLine="0"/>
        <w:rPr>
          <w:b w:val="0"/>
          <w:i w:val="0"/>
          <w:szCs w:val="24"/>
        </w:rPr>
      </w:pPr>
      <w:r w:rsidRPr="00117A56">
        <w:rPr>
          <w:i w:val="0"/>
          <w:szCs w:val="24"/>
        </w:rPr>
        <w:t xml:space="preserve">Resource: </w:t>
      </w:r>
      <w:r w:rsidRPr="00117A56">
        <w:rPr>
          <w:b w:val="0"/>
          <w:i w:val="0"/>
          <w:szCs w:val="24"/>
        </w:rPr>
        <w:t xml:space="preserve">Harrow CCG allocated a resource of £194,000 to support the implementation of the utilisation of the new matrix. This </w:t>
      </w:r>
      <w:r w:rsidR="00BC5FC4" w:rsidRPr="00117A56">
        <w:rPr>
          <w:b w:val="0"/>
          <w:i w:val="0"/>
          <w:szCs w:val="24"/>
        </w:rPr>
        <w:t>provided</w:t>
      </w:r>
      <w:r w:rsidRPr="00117A56">
        <w:rPr>
          <w:b w:val="0"/>
          <w:i w:val="0"/>
          <w:szCs w:val="24"/>
        </w:rPr>
        <w:t xml:space="preserve"> the following </w:t>
      </w:r>
      <w:r w:rsidR="00BC5FC4" w:rsidRPr="00117A56">
        <w:rPr>
          <w:b w:val="0"/>
          <w:i w:val="0"/>
          <w:szCs w:val="24"/>
        </w:rPr>
        <w:t xml:space="preserve">health </w:t>
      </w:r>
      <w:r w:rsidRPr="00117A56">
        <w:rPr>
          <w:b w:val="0"/>
          <w:i w:val="0"/>
          <w:szCs w:val="24"/>
        </w:rPr>
        <w:t xml:space="preserve">staff </w:t>
      </w:r>
      <w:r w:rsidR="00BC5FC4" w:rsidRPr="00117A56">
        <w:rPr>
          <w:b w:val="0"/>
          <w:i w:val="0"/>
          <w:szCs w:val="24"/>
        </w:rPr>
        <w:t>for the CCG and CNWL</w:t>
      </w:r>
      <w:r w:rsidR="007D7937" w:rsidRPr="00117A56">
        <w:rPr>
          <w:b w:val="0"/>
          <w:i w:val="0"/>
          <w:szCs w:val="24"/>
        </w:rPr>
        <w:t xml:space="preserve"> to carry out the </w:t>
      </w:r>
      <w:r w:rsidR="00117A56">
        <w:rPr>
          <w:b w:val="0"/>
          <w:i w:val="0"/>
          <w:szCs w:val="24"/>
        </w:rPr>
        <w:t>1</w:t>
      </w:r>
      <w:r w:rsidR="00096523">
        <w:rPr>
          <w:b w:val="0"/>
          <w:i w:val="0"/>
          <w:szCs w:val="24"/>
        </w:rPr>
        <w:t>37</w:t>
      </w:r>
      <w:r w:rsidR="00B229F1">
        <w:rPr>
          <w:b w:val="0"/>
          <w:i w:val="0"/>
          <w:szCs w:val="24"/>
        </w:rPr>
        <w:t xml:space="preserve"> S117 reviews</w:t>
      </w:r>
      <w:r w:rsidRPr="00117A56">
        <w:rPr>
          <w:b w:val="0"/>
          <w:i w:val="0"/>
          <w:szCs w:val="24"/>
        </w:rPr>
        <w:t>:</w:t>
      </w:r>
    </w:p>
    <w:p w14:paraId="27A501F2" w14:textId="77777777" w:rsidR="006B306F" w:rsidRPr="001F07CC" w:rsidRDefault="006B306F" w:rsidP="006B306F">
      <w:pPr>
        <w:rPr>
          <w:rFonts w:cs="Arial"/>
          <w:szCs w:val="24"/>
        </w:rPr>
      </w:pPr>
    </w:p>
    <w:p w14:paraId="00486DDF" w14:textId="77777777" w:rsidR="006B306F" w:rsidRPr="001F07CC" w:rsidRDefault="006B306F" w:rsidP="00BC5FC4">
      <w:pPr>
        <w:numPr>
          <w:ilvl w:val="0"/>
          <w:numId w:val="17"/>
        </w:numPr>
        <w:rPr>
          <w:rFonts w:cs="Arial"/>
          <w:szCs w:val="24"/>
        </w:rPr>
      </w:pPr>
      <w:r w:rsidRPr="001F07CC">
        <w:rPr>
          <w:rFonts w:cs="Arial"/>
          <w:szCs w:val="24"/>
        </w:rPr>
        <w:t>Mental Health nurse assessors</w:t>
      </w:r>
    </w:p>
    <w:p w14:paraId="550D4637" w14:textId="77777777" w:rsidR="006B306F" w:rsidRPr="001F07CC" w:rsidRDefault="006B306F" w:rsidP="00BC5FC4">
      <w:pPr>
        <w:numPr>
          <w:ilvl w:val="0"/>
          <w:numId w:val="17"/>
        </w:numPr>
        <w:rPr>
          <w:rFonts w:cs="Arial"/>
          <w:szCs w:val="24"/>
        </w:rPr>
      </w:pPr>
      <w:r w:rsidRPr="001F07CC">
        <w:rPr>
          <w:rFonts w:cs="Arial"/>
          <w:szCs w:val="24"/>
        </w:rPr>
        <w:t xml:space="preserve">An experienced trainer </w:t>
      </w:r>
    </w:p>
    <w:p w14:paraId="794B94F4" w14:textId="77777777" w:rsidR="006B306F" w:rsidRPr="001F07CC" w:rsidRDefault="006B306F" w:rsidP="00BC5FC4">
      <w:pPr>
        <w:numPr>
          <w:ilvl w:val="0"/>
          <w:numId w:val="17"/>
        </w:numPr>
        <w:rPr>
          <w:rFonts w:cs="Arial"/>
          <w:szCs w:val="24"/>
        </w:rPr>
      </w:pPr>
      <w:r w:rsidRPr="001F07CC">
        <w:rPr>
          <w:rFonts w:cs="Arial"/>
          <w:szCs w:val="24"/>
        </w:rPr>
        <w:t>Administrative support</w:t>
      </w:r>
    </w:p>
    <w:p w14:paraId="639E40D6" w14:textId="20FBEC12" w:rsidR="006B306F" w:rsidRDefault="00BC5FC4" w:rsidP="00BC5FC4">
      <w:pPr>
        <w:numPr>
          <w:ilvl w:val="0"/>
          <w:numId w:val="17"/>
        </w:numPr>
        <w:rPr>
          <w:rFonts w:cs="Arial"/>
          <w:szCs w:val="24"/>
        </w:rPr>
      </w:pPr>
      <w:r>
        <w:rPr>
          <w:rFonts w:cs="Arial"/>
          <w:szCs w:val="24"/>
        </w:rPr>
        <w:t>Quality Assurance clinician</w:t>
      </w:r>
    </w:p>
    <w:p w14:paraId="71CEBDB5" w14:textId="77777777" w:rsidR="004D0836" w:rsidRDefault="004D0836" w:rsidP="00F57D9E">
      <w:pPr>
        <w:ind w:left="720"/>
        <w:rPr>
          <w:rFonts w:cs="Arial"/>
          <w:szCs w:val="24"/>
        </w:rPr>
      </w:pPr>
    </w:p>
    <w:p w14:paraId="5129A861" w14:textId="2DC4F609" w:rsidR="00096523" w:rsidRDefault="00F57D9E" w:rsidP="00F57D9E">
      <w:pPr>
        <w:rPr>
          <w:rFonts w:cs="Arial"/>
          <w:szCs w:val="24"/>
        </w:rPr>
      </w:pPr>
      <w:r>
        <w:rPr>
          <w:rFonts w:cs="Arial"/>
          <w:szCs w:val="24"/>
        </w:rPr>
        <w:t>Harrow Council, CNWL and CCG commenced reviews using new S117 matrices in March 2019 with first cases going to the new S117 panel 22</w:t>
      </w:r>
      <w:r w:rsidRPr="00F57D9E">
        <w:rPr>
          <w:rFonts w:cs="Arial"/>
          <w:szCs w:val="24"/>
          <w:vertAlign w:val="superscript"/>
        </w:rPr>
        <w:t>nd</w:t>
      </w:r>
      <w:r>
        <w:rPr>
          <w:rFonts w:cs="Arial"/>
          <w:szCs w:val="24"/>
        </w:rPr>
        <w:t xml:space="preserve"> March 2019. The last reviews for this project were completed in October 2019.</w:t>
      </w:r>
    </w:p>
    <w:p w14:paraId="60E434A8" w14:textId="77777777" w:rsidR="00F57D9E" w:rsidRDefault="00F57D9E" w:rsidP="00F57D9E">
      <w:pPr>
        <w:rPr>
          <w:rFonts w:cs="Arial"/>
          <w:szCs w:val="24"/>
        </w:rPr>
      </w:pPr>
    </w:p>
    <w:p w14:paraId="479AE18E" w14:textId="3208062D" w:rsidR="00F57D9E" w:rsidRDefault="00F57D9E" w:rsidP="00F57D9E">
      <w:pPr>
        <w:rPr>
          <w:rFonts w:cs="Arial"/>
          <w:szCs w:val="24"/>
        </w:rPr>
      </w:pPr>
      <w:r>
        <w:rPr>
          <w:rFonts w:cs="Arial"/>
          <w:szCs w:val="24"/>
        </w:rPr>
        <w:t>The CCG implementation funding for additional health staff ended September 2019.</w:t>
      </w:r>
    </w:p>
    <w:p w14:paraId="16EA3536" w14:textId="77777777" w:rsidR="00F57D9E" w:rsidRDefault="00F57D9E" w:rsidP="00F57D9E">
      <w:pPr>
        <w:rPr>
          <w:rFonts w:cs="Arial"/>
          <w:szCs w:val="24"/>
        </w:rPr>
      </w:pPr>
    </w:p>
    <w:p w14:paraId="0C190ADF" w14:textId="1EB5A509" w:rsidR="00F57D9E" w:rsidRDefault="00F57D9E" w:rsidP="00F57D9E">
      <w:pPr>
        <w:rPr>
          <w:rFonts w:cs="Arial"/>
          <w:szCs w:val="24"/>
        </w:rPr>
      </w:pPr>
      <w:r>
        <w:rPr>
          <w:rFonts w:cs="Arial"/>
          <w:szCs w:val="24"/>
        </w:rPr>
        <w:t xml:space="preserve">Future reviews will be completed with the new S117 matrices and as part of business as usual. </w:t>
      </w:r>
      <w:r w:rsidR="007365F7">
        <w:rPr>
          <w:rFonts w:cs="Arial"/>
          <w:szCs w:val="24"/>
        </w:rPr>
        <w:t>From November m</w:t>
      </w:r>
      <w:r>
        <w:rPr>
          <w:rFonts w:cs="Arial"/>
          <w:szCs w:val="24"/>
        </w:rPr>
        <w:t xml:space="preserve">onthly S117 panels will remain in place as business as usual with </w:t>
      </w:r>
      <w:r w:rsidR="00DF7592">
        <w:rPr>
          <w:rFonts w:cs="Arial"/>
          <w:szCs w:val="24"/>
        </w:rPr>
        <w:t>Harrow council, Harrow CCG and CNWL ratifying the funding arrangements.</w:t>
      </w:r>
    </w:p>
    <w:p w14:paraId="46D4B99E" w14:textId="77777777" w:rsidR="00096523" w:rsidRDefault="00096523" w:rsidP="00F57D9E">
      <w:pPr>
        <w:rPr>
          <w:rFonts w:cs="Arial"/>
          <w:szCs w:val="24"/>
        </w:rPr>
      </w:pPr>
    </w:p>
    <w:p w14:paraId="492A36AC" w14:textId="77777777" w:rsidR="006B306F" w:rsidRPr="001F07CC" w:rsidRDefault="006B306F" w:rsidP="006B306F">
      <w:pPr>
        <w:pStyle w:val="Heading3"/>
        <w:ind w:firstLine="0"/>
        <w:rPr>
          <w:szCs w:val="24"/>
        </w:rPr>
      </w:pPr>
    </w:p>
    <w:p w14:paraId="2DDA27A0" w14:textId="77777777"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14:paraId="252EEBC9" w14:textId="77777777" w:rsidR="00A50388" w:rsidRDefault="00A50388">
      <w:pPr>
        <w:rPr>
          <w:color w:val="0000FF"/>
        </w:rPr>
      </w:pPr>
    </w:p>
    <w:p w14:paraId="14183C83" w14:textId="77777777" w:rsidR="00A50388" w:rsidRDefault="00A50388">
      <w:pPr>
        <w:rPr>
          <w:color w:val="0000FF"/>
        </w:rPr>
      </w:pPr>
    </w:p>
    <w:p w14:paraId="00D633CD" w14:textId="77777777" w:rsidR="002A2389" w:rsidRDefault="002A2389">
      <w:pPr>
        <w:pStyle w:val="Heading2"/>
      </w:pPr>
      <w:r>
        <w:t>Financial Implications</w:t>
      </w:r>
      <w:r w:rsidR="00BE1C78">
        <w:t xml:space="preserve">/Comments </w:t>
      </w:r>
    </w:p>
    <w:p w14:paraId="348DFA84" w14:textId="77777777" w:rsidR="00BE1C78" w:rsidRDefault="00BE1C78" w:rsidP="00BE1C78"/>
    <w:p w14:paraId="1FFB60D9" w14:textId="5DF8A8E6" w:rsidR="004D0836" w:rsidRDefault="004D0836" w:rsidP="00BC5FC4">
      <w:pPr>
        <w:pStyle w:val="Heading2"/>
        <w:rPr>
          <w:b w:val="0"/>
          <w:sz w:val="24"/>
          <w:szCs w:val="24"/>
        </w:rPr>
      </w:pPr>
      <w:r>
        <w:rPr>
          <w:b w:val="0"/>
          <w:sz w:val="24"/>
          <w:szCs w:val="24"/>
        </w:rPr>
        <w:t>Whilst t</w:t>
      </w:r>
      <w:r w:rsidR="00BC5FC4" w:rsidRPr="00BC5FC4">
        <w:rPr>
          <w:b w:val="0"/>
          <w:sz w:val="24"/>
          <w:szCs w:val="24"/>
        </w:rPr>
        <w:t xml:space="preserve">he new S117 matrix has helped to determine the </w:t>
      </w:r>
      <w:r>
        <w:rPr>
          <w:b w:val="0"/>
          <w:sz w:val="24"/>
          <w:szCs w:val="24"/>
        </w:rPr>
        <w:t>appropriate split between the health and social care costs being provided to avoid a relapse of the s117, this has impacted partner organisations to varying degrees.</w:t>
      </w:r>
    </w:p>
    <w:p w14:paraId="0502CA22" w14:textId="77777777" w:rsidR="004D0836" w:rsidRDefault="004D0836" w:rsidP="00BC5FC4">
      <w:pPr>
        <w:pStyle w:val="Heading2"/>
        <w:rPr>
          <w:b w:val="0"/>
          <w:sz w:val="24"/>
          <w:szCs w:val="24"/>
        </w:rPr>
      </w:pPr>
    </w:p>
    <w:p w14:paraId="553A2249" w14:textId="70386264" w:rsidR="00081FFF" w:rsidRDefault="00081FFF" w:rsidP="00BC5FC4">
      <w:pPr>
        <w:pStyle w:val="Heading2"/>
        <w:rPr>
          <w:b w:val="0"/>
          <w:sz w:val="24"/>
          <w:szCs w:val="24"/>
        </w:rPr>
      </w:pPr>
      <w:r>
        <w:rPr>
          <w:b w:val="0"/>
          <w:sz w:val="24"/>
          <w:szCs w:val="24"/>
        </w:rPr>
        <w:t>The additional cost</w:t>
      </w:r>
      <w:r w:rsidR="009615A6">
        <w:rPr>
          <w:b w:val="0"/>
          <w:sz w:val="24"/>
          <w:szCs w:val="24"/>
        </w:rPr>
        <w:t xml:space="preserve">, estimated at </w:t>
      </w:r>
      <w:r>
        <w:rPr>
          <w:b w:val="0"/>
          <w:sz w:val="24"/>
          <w:szCs w:val="24"/>
        </w:rPr>
        <w:t xml:space="preserve">£497k for the Council in the current financial year will be funded from the specific Adult Social Care reserve set up as part of the budget setting process for 2019-20.  The cost in a full year is estimated at </w:t>
      </w:r>
      <w:r w:rsidR="009615A6">
        <w:rPr>
          <w:b w:val="0"/>
          <w:sz w:val="24"/>
          <w:szCs w:val="24"/>
        </w:rPr>
        <w:t>just under £0.8m</w:t>
      </w:r>
      <w:r>
        <w:rPr>
          <w:b w:val="0"/>
          <w:sz w:val="24"/>
          <w:szCs w:val="24"/>
        </w:rPr>
        <w:t>.</w:t>
      </w:r>
      <w:r w:rsidR="009615A6">
        <w:rPr>
          <w:b w:val="0"/>
          <w:sz w:val="24"/>
          <w:szCs w:val="24"/>
        </w:rPr>
        <w:t xml:space="preserve">  For these cases the split has shifted from 50:50 to</w:t>
      </w:r>
      <w:r w:rsidR="00DB2976">
        <w:rPr>
          <w:b w:val="0"/>
          <w:sz w:val="24"/>
          <w:szCs w:val="24"/>
        </w:rPr>
        <w:t xml:space="preserve"> approx</w:t>
      </w:r>
      <w:r w:rsidR="009615A6">
        <w:rPr>
          <w:b w:val="0"/>
          <w:sz w:val="24"/>
          <w:szCs w:val="24"/>
        </w:rPr>
        <w:t xml:space="preserve"> </w:t>
      </w:r>
      <w:r w:rsidR="00FF1B08">
        <w:rPr>
          <w:b w:val="0"/>
          <w:sz w:val="24"/>
          <w:szCs w:val="24"/>
        </w:rPr>
        <w:t>65% LA 35% CCG.</w:t>
      </w:r>
    </w:p>
    <w:p w14:paraId="306538FB" w14:textId="77777777" w:rsidR="00081FFF" w:rsidRDefault="00081FFF" w:rsidP="00BC5FC4">
      <w:pPr>
        <w:pStyle w:val="Heading2"/>
        <w:rPr>
          <w:b w:val="0"/>
          <w:sz w:val="24"/>
          <w:szCs w:val="24"/>
        </w:rPr>
      </w:pPr>
    </w:p>
    <w:p w14:paraId="7C7C2385" w14:textId="0E7CA449" w:rsidR="00242929" w:rsidRDefault="009615A6" w:rsidP="00BC5FC4">
      <w:pPr>
        <w:pStyle w:val="Heading2"/>
        <w:rPr>
          <w:b w:val="0"/>
          <w:sz w:val="24"/>
          <w:szCs w:val="24"/>
        </w:rPr>
      </w:pPr>
      <w:r>
        <w:rPr>
          <w:b w:val="0"/>
          <w:sz w:val="24"/>
          <w:szCs w:val="24"/>
        </w:rPr>
        <w:t>For Mental Health service users under 65, a reduction of approx. £200k has been identified</w:t>
      </w:r>
      <w:r w:rsidR="00FF1B08">
        <w:rPr>
          <w:b w:val="0"/>
          <w:sz w:val="24"/>
          <w:szCs w:val="24"/>
        </w:rPr>
        <w:t xml:space="preserve"> with the 50:50 shift now representing 45% CNWL 55% CCG</w:t>
      </w:r>
      <w:r>
        <w:rPr>
          <w:b w:val="0"/>
          <w:sz w:val="24"/>
          <w:szCs w:val="24"/>
        </w:rPr>
        <w:t xml:space="preserve">.  </w:t>
      </w:r>
      <w:r w:rsidR="00081FFF">
        <w:rPr>
          <w:b w:val="0"/>
          <w:sz w:val="24"/>
          <w:szCs w:val="24"/>
        </w:rPr>
        <w:t>Th</w:t>
      </w:r>
      <w:r>
        <w:rPr>
          <w:b w:val="0"/>
          <w:sz w:val="24"/>
          <w:szCs w:val="24"/>
        </w:rPr>
        <w:t>is</w:t>
      </w:r>
      <w:r w:rsidR="00081FFF">
        <w:rPr>
          <w:b w:val="0"/>
          <w:sz w:val="24"/>
          <w:szCs w:val="24"/>
        </w:rPr>
        <w:t xml:space="preserve"> reduction in cost for CNWL cases will reduce the </w:t>
      </w:r>
      <w:r>
        <w:rPr>
          <w:b w:val="0"/>
          <w:sz w:val="24"/>
          <w:szCs w:val="24"/>
        </w:rPr>
        <w:t xml:space="preserve">cost of this service </w:t>
      </w:r>
      <w:r w:rsidR="00081FFF">
        <w:rPr>
          <w:b w:val="0"/>
          <w:sz w:val="24"/>
          <w:szCs w:val="24"/>
        </w:rPr>
        <w:t>for the council</w:t>
      </w:r>
      <w:r>
        <w:rPr>
          <w:b w:val="0"/>
          <w:sz w:val="24"/>
          <w:szCs w:val="24"/>
        </w:rPr>
        <w:t>.</w:t>
      </w:r>
    </w:p>
    <w:p w14:paraId="3903D332" w14:textId="77777777" w:rsidR="00B02963" w:rsidRPr="00B02963" w:rsidRDefault="00B02963" w:rsidP="00B02963"/>
    <w:p w14:paraId="64D38D57" w14:textId="1F4F84BA" w:rsidR="004D0836" w:rsidRDefault="004D0836">
      <w:r>
        <w:t xml:space="preserve">It should be noted that it was agreed that any changes in the split of funding responsibilities would not be backdated and would be effective from the date of the review under the matrix.  </w:t>
      </w:r>
    </w:p>
    <w:p w14:paraId="512D1BD7" w14:textId="77777777" w:rsidR="004D0836" w:rsidRDefault="004D0836"/>
    <w:p w14:paraId="0F7B7414" w14:textId="4FD0A277" w:rsidR="004D0836" w:rsidRDefault="0000759C">
      <w:r>
        <w:t>As a result all h</w:t>
      </w:r>
      <w:r w:rsidR="004D0836">
        <w:t xml:space="preserve">istoric invoices raised by the CCG prior to the implementation of the matrix tool (which reflected a desktop exercise) </w:t>
      </w:r>
      <w:r>
        <w:t xml:space="preserve">and </w:t>
      </w:r>
      <w:r w:rsidR="004D0836">
        <w:t xml:space="preserve">which </w:t>
      </w:r>
      <w:r>
        <w:t xml:space="preserve">remain </w:t>
      </w:r>
      <w:r w:rsidR="004D0836">
        <w:t>unpaid by the Council, will now be cancelled.</w:t>
      </w:r>
    </w:p>
    <w:p w14:paraId="5816851B" w14:textId="0E20ED00" w:rsidR="004D0836" w:rsidRPr="004D0836" w:rsidRDefault="004D0836">
      <w:r>
        <w:t xml:space="preserve"> </w:t>
      </w:r>
    </w:p>
    <w:p w14:paraId="48A38732" w14:textId="77777777" w:rsidR="00B30F8D" w:rsidRDefault="00B30F8D">
      <w:pPr>
        <w:rPr>
          <w:b/>
          <w:sz w:val="28"/>
          <w:szCs w:val="28"/>
        </w:rPr>
      </w:pPr>
    </w:p>
    <w:p w14:paraId="685CDF3D" w14:textId="77777777" w:rsidR="00B30F8D" w:rsidRDefault="00B30F8D">
      <w:pPr>
        <w:rPr>
          <w:b/>
          <w:sz w:val="28"/>
          <w:szCs w:val="28"/>
        </w:rPr>
      </w:pPr>
    </w:p>
    <w:p w14:paraId="2D774C82" w14:textId="77777777" w:rsidR="00B30F8D" w:rsidRDefault="00B30F8D">
      <w:pPr>
        <w:rPr>
          <w:b/>
          <w:sz w:val="28"/>
          <w:szCs w:val="28"/>
        </w:rPr>
      </w:pPr>
    </w:p>
    <w:p w14:paraId="47ABDE41" w14:textId="7E7F42C5" w:rsidR="00582078" w:rsidRDefault="00582078">
      <w:pPr>
        <w:rPr>
          <w:b/>
          <w:sz w:val="28"/>
          <w:szCs w:val="28"/>
        </w:rPr>
      </w:pPr>
    </w:p>
    <w:p w14:paraId="782354F5" w14:textId="77777777" w:rsidR="00582078" w:rsidRDefault="00582078">
      <w:pPr>
        <w:rPr>
          <w:b/>
          <w:sz w:val="28"/>
          <w:szCs w:val="28"/>
        </w:rPr>
      </w:pPr>
    </w:p>
    <w:p w14:paraId="33DEB2F0" w14:textId="77777777" w:rsidR="001417FD" w:rsidRDefault="001417FD">
      <w:pPr>
        <w:rPr>
          <w:b/>
          <w:sz w:val="28"/>
          <w:szCs w:val="28"/>
        </w:rPr>
      </w:pPr>
      <w:r w:rsidRPr="001417FD">
        <w:rPr>
          <w:b/>
          <w:sz w:val="28"/>
          <w:szCs w:val="28"/>
        </w:rPr>
        <w:t xml:space="preserve">Legal Implications/Comments </w:t>
      </w:r>
    </w:p>
    <w:p w14:paraId="018372A4" w14:textId="77777777" w:rsidR="004D5D86" w:rsidRPr="001417FD" w:rsidRDefault="004D5D86">
      <w:pPr>
        <w:rPr>
          <w:b/>
          <w:sz w:val="28"/>
          <w:szCs w:val="28"/>
        </w:rPr>
      </w:pPr>
    </w:p>
    <w:p w14:paraId="16A65836" w14:textId="369A6018" w:rsidR="00BC5FC4" w:rsidRPr="001F07CC" w:rsidRDefault="00BC5FC4" w:rsidP="00BC5FC4">
      <w:pPr>
        <w:rPr>
          <w:rFonts w:cs="Arial"/>
          <w:szCs w:val="24"/>
        </w:rPr>
      </w:pPr>
      <w:r w:rsidRPr="001F07CC">
        <w:rPr>
          <w:rFonts w:cs="Arial"/>
          <w:szCs w:val="24"/>
        </w:rPr>
        <w:t>Throughout the process, both the CCG and LA have sought legal advice, to ensure the new process is permissible.</w:t>
      </w:r>
    </w:p>
    <w:p w14:paraId="464EFC9E" w14:textId="77777777" w:rsidR="001417FD" w:rsidRDefault="001417FD"/>
    <w:p w14:paraId="7F1FAF82" w14:textId="56A7196B" w:rsidR="00B13D14" w:rsidRDefault="00B13D14" w:rsidP="00B13D14">
      <w:r>
        <w:t>The s117 aftercare duty to provide after care services arises when someone has been admitted to hospital under s3 or s37 of the Mental Health Act 1983 or transferred to hospital under s47 or 48 of the same Act, and after care is defined as those services ‘meeting a need arising from or related to the person's mental disorder; and reducing the risk of a deterioration of the person's mental condition (and, accordingly, reducing the risk of the person requiring admission to a hospital again for treatment for mental disorder’</w:t>
      </w:r>
    </w:p>
    <w:p w14:paraId="7D9D03A3" w14:textId="77777777" w:rsidR="00B13D14" w:rsidRDefault="00B13D14" w:rsidP="00B13D14"/>
    <w:p w14:paraId="1B176198" w14:textId="0301550A" w:rsidR="00B13D14" w:rsidRDefault="00B13D14" w:rsidP="00B13D14">
      <w:r>
        <w:t>The duty is jointly imposed on Health and Social Care (so here it is the LA and CCG) and requires that a plan is drawn up to identify relevant services. The plan can be reviewed but will remain in force until both the LA and CCG jointly decide that the services are no longer needed and discharge the plan. Discharge from the plan cannot be made unilaterally by either CCG or LA.</w:t>
      </w:r>
    </w:p>
    <w:p w14:paraId="284917EE" w14:textId="77777777" w:rsidR="00B13D14" w:rsidRDefault="00B13D14"/>
    <w:p w14:paraId="5F3E0F87" w14:textId="77777777" w:rsidR="00C32DAE" w:rsidRDefault="00C32DAE" w:rsidP="00E02B50">
      <w:pPr>
        <w:pStyle w:val="Heading2"/>
      </w:pPr>
      <w:r>
        <w:t>Risk Management Implications</w:t>
      </w:r>
    </w:p>
    <w:p w14:paraId="6AE69332" w14:textId="77777777" w:rsidR="00C32DAE" w:rsidRDefault="00C32DAE" w:rsidP="00C32DAE">
      <w:pPr>
        <w:pStyle w:val="Heading1"/>
        <w:rPr>
          <w:b/>
          <w:sz w:val="24"/>
          <w:szCs w:val="24"/>
        </w:rPr>
      </w:pPr>
    </w:p>
    <w:p w14:paraId="505392ED" w14:textId="3B2F2A58" w:rsidR="009C7483" w:rsidRPr="001F07CC" w:rsidRDefault="009C7483" w:rsidP="009C7483">
      <w:pPr>
        <w:rPr>
          <w:rFonts w:cs="Arial"/>
          <w:szCs w:val="24"/>
        </w:rPr>
      </w:pPr>
      <w:r w:rsidRPr="001F07CC">
        <w:rPr>
          <w:rFonts w:cs="Arial"/>
          <w:szCs w:val="24"/>
        </w:rPr>
        <w:t xml:space="preserve">1. Risk: </w:t>
      </w:r>
      <w:r>
        <w:rPr>
          <w:rFonts w:cs="Arial"/>
          <w:szCs w:val="24"/>
        </w:rPr>
        <w:t xml:space="preserve">Consistency of practice. Ensuring the methodology and quality of work is similar </w:t>
      </w:r>
      <w:r w:rsidRPr="001F07CC">
        <w:rPr>
          <w:rFonts w:cs="Arial"/>
          <w:szCs w:val="24"/>
        </w:rPr>
        <w:t>across health and social care.</w:t>
      </w:r>
    </w:p>
    <w:p w14:paraId="73BB7984" w14:textId="77777777" w:rsidR="0091294B" w:rsidRDefault="0091294B" w:rsidP="009C7483">
      <w:pPr>
        <w:rPr>
          <w:rFonts w:cs="Arial"/>
          <w:szCs w:val="24"/>
        </w:rPr>
      </w:pPr>
    </w:p>
    <w:p w14:paraId="31386A69" w14:textId="23BB0769" w:rsidR="009C7483" w:rsidRPr="001F07CC" w:rsidRDefault="009C7483" w:rsidP="009C7483">
      <w:pPr>
        <w:rPr>
          <w:rFonts w:cs="Arial"/>
          <w:szCs w:val="24"/>
        </w:rPr>
      </w:pPr>
      <w:r w:rsidRPr="001F07CC">
        <w:rPr>
          <w:rFonts w:cs="Arial"/>
          <w:szCs w:val="24"/>
        </w:rPr>
        <w:t xml:space="preserve">Mitigation: </w:t>
      </w:r>
      <w:r w:rsidR="009A5960">
        <w:rPr>
          <w:rFonts w:cs="Arial"/>
          <w:szCs w:val="24"/>
        </w:rPr>
        <w:t>Guidance manual to be updated and re-released to staff</w:t>
      </w:r>
    </w:p>
    <w:p w14:paraId="5C570F97" w14:textId="77777777" w:rsidR="009C7483" w:rsidRPr="001F07CC" w:rsidRDefault="009C7483" w:rsidP="009C7483">
      <w:pPr>
        <w:rPr>
          <w:rFonts w:cs="Arial"/>
          <w:szCs w:val="24"/>
        </w:rPr>
      </w:pPr>
    </w:p>
    <w:p w14:paraId="12FDFEB5" w14:textId="551A67DD" w:rsidR="009C7483" w:rsidRPr="001F07CC" w:rsidRDefault="009C7483" w:rsidP="009C7483">
      <w:pPr>
        <w:rPr>
          <w:rFonts w:cs="Arial"/>
          <w:szCs w:val="24"/>
        </w:rPr>
      </w:pPr>
      <w:r w:rsidRPr="001F07CC">
        <w:rPr>
          <w:rFonts w:cs="Arial"/>
          <w:szCs w:val="24"/>
        </w:rPr>
        <w:t xml:space="preserve">2. Risk: </w:t>
      </w:r>
      <w:r w:rsidR="009A5960" w:rsidRPr="001F07CC">
        <w:rPr>
          <w:rFonts w:cs="Arial"/>
          <w:szCs w:val="24"/>
        </w:rPr>
        <w:t>D</w:t>
      </w:r>
      <w:r w:rsidR="009A5960">
        <w:rPr>
          <w:rFonts w:cs="Arial"/>
          <w:szCs w:val="24"/>
        </w:rPr>
        <w:t xml:space="preserve">isputes. Disagreements have not occurred to date that were not able to be resolved by panel members or practitioners. However with the complex nature of the matrix there is a need to have a robust mechanism to </w:t>
      </w:r>
      <w:r w:rsidR="00F74A0E">
        <w:rPr>
          <w:rFonts w:cs="Arial"/>
          <w:szCs w:val="24"/>
        </w:rPr>
        <w:t>manage</w:t>
      </w:r>
      <w:r w:rsidR="009A5960">
        <w:rPr>
          <w:rFonts w:cs="Arial"/>
          <w:szCs w:val="24"/>
        </w:rPr>
        <w:t xml:space="preserve"> resolution</w:t>
      </w:r>
      <w:r w:rsidR="00F74A0E">
        <w:rPr>
          <w:rFonts w:cs="Arial"/>
          <w:szCs w:val="24"/>
        </w:rPr>
        <w:t>s</w:t>
      </w:r>
      <w:r w:rsidRPr="001F07CC">
        <w:rPr>
          <w:rFonts w:cs="Arial"/>
          <w:szCs w:val="24"/>
        </w:rPr>
        <w:t>, as</w:t>
      </w:r>
      <w:r w:rsidR="00F74A0E">
        <w:rPr>
          <w:rFonts w:cs="Arial"/>
          <w:szCs w:val="24"/>
        </w:rPr>
        <w:t xml:space="preserve"> there is no formal process to</w:t>
      </w:r>
      <w:r w:rsidR="009A5960">
        <w:rPr>
          <w:rFonts w:cs="Arial"/>
          <w:szCs w:val="24"/>
        </w:rPr>
        <w:t xml:space="preserve"> resolve situations where there are different professional opinions.</w:t>
      </w:r>
    </w:p>
    <w:p w14:paraId="5A96C85A" w14:textId="77777777" w:rsidR="0091294B" w:rsidRDefault="0091294B" w:rsidP="009C7483">
      <w:pPr>
        <w:rPr>
          <w:rFonts w:cs="Arial"/>
          <w:szCs w:val="24"/>
        </w:rPr>
      </w:pPr>
    </w:p>
    <w:p w14:paraId="352119FB" w14:textId="2A69876B" w:rsidR="009C7483" w:rsidRPr="001F07CC" w:rsidRDefault="009A5960" w:rsidP="009C7483">
      <w:pPr>
        <w:rPr>
          <w:rFonts w:cs="Arial"/>
          <w:szCs w:val="24"/>
        </w:rPr>
      </w:pPr>
      <w:r>
        <w:rPr>
          <w:rFonts w:cs="Arial"/>
          <w:szCs w:val="24"/>
        </w:rPr>
        <w:t xml:space="preserve">Mitigation: The CCG, LA and CNWL will draft </w:t>
      </w:r>
      <w:r w:rsidR="00746FBC">
        <w:rPr>
          <w:rFonts w:cs="Arial"/>
          <w:szCs w:val="24"/>
        </w:rPr>
        <w:t>a dispute resolution policy for adoption by all partners</w:t>
      </w:r>
      <w:r w:rsidR="009C7483" w:rsidRPr="001F07CC">
        <w:rPr>
          <w:rFonts w:cs="Arial"/>
          <w:szCs w:val="24"/>
        </w:rPr>
        <w:t>.</w:t>
      </w:r>
    </w:p>
    <w:p w14:paraId="4E4D8CE2" w14:textId="77777777" w:rsidR="00A50388" w:rsidRDefault="00A50388" w:rsidP="00DD4251">
      <w:pPr>
        <w:ind w:right="141"/>
        <w:rPr>
          <w:rFonts w:cs="Arial"/>
          <w:szCs w:val="24"/>
          <w:lang w:val="en-US" w:eastAsia="en-GB"/>
        </w:rPr>
      </w:pPr>
    </w:p>
    <w:p w14:paraId="746D533D" w14:textId="77777777" w:rsidR="00080819" w:rsidRPr="00DD4251" w:rsidRDefault="00080819" w:rsidP="00DD4251">
      <w:pPr>
        <w:ind w:right="141"/>
        <w:rPr>
          <w:rFonts w:cs="Arial"/>
          <w:szCs w:val="24"/>
          <w:lang w:val="en-US" w:eastAsia="en-GB"/>
        </w:rPr>
      </w:pPr>
    </w:p>
    <w:p w14:paraId="211F3530" w14:textId="77777777"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14:paraId="454826D0" w14:textId="77777777" w:rsidR="00FD31A0" w:rsidRDefault="00FD31A0" w:rsidP="00FD31A0">
      <w:pPr>
        <w:keepNext/>
      </w:pPr>
    </w:p>
    <w:p w14:paraId="7C05D220" w14:textId="222155D2" w:rsidR="00FD31A0" w:rsidRPr="004A2543" w:rsidRDefault="00FD31A0" w:rsidP="00FD31A0">
      <w:r w:rsidRPr="004A2543">
        <w:t xml:space="preserve">Was an Equality Impact Assessment carried out?  </w:t>
      </w:r>
      <w:r w:rsidR="001444D4">
        <w:t>No</w:t>
      </w:r>
    </w:p>
    <w:p w14:paraId="065B0A4B" w14:textId="77777777" w:rsidR="00FD31A0" w:rsidRPr="004A2543" w:rsidRDefault="00FD31A0" w:rsidP="00FD31A0"/>
    <w:p w14:paraId="41FC464C" w14:textId="53D8CF11" w:rsidR="001444D4" w:rsidRPr="001F07CC" w:rsidRDefault="001444D4" w:rsidP="001444D4">
      <w:pPr>
        <w:rPr>
          <w:rFonts w:cs="Arial"/>
          <w:szCs w:val="24"/>
        </w:rPr>
      </w:pPr>
      <w:r>
        <w:rPr>
          <w:rFonts w:cs="Arial"/>
          <w:szCs w:val="24"/>
        </w:rPr>
        <w:t>Not completed a</w:t>
      </w:r>
      <w:r w:rsidRPr="001F07CC">
        <w:rPr>
          <w:rFonts w:cs="Arial"/>
          <w:szCs w:val="24"/>
        </w:rPr>
        <w:t xml:space="preserve">s </w:t>
      </w:r>
      <w:r>
        <w:rPr>
          <w:rFonts w:cs="Arial"/>
          <w:szCs w:val="24"/>
        </w:rPr>
        <w:t>considered as part of t</w:t>
      </w:r>
      <w:r w:rsidRPr="001F07CC">
        <w:rPr>
          <w:rFonts w:cs="Arial"/>
          <w:szCs w:val="24"/>
        </w:rPr>
        <w:t>he multi-agency protocol</w:t>
      </w:r>
      <w:r>
        <w:rPr>
          <w:rFonts w:cs="Arial"/>
          <w:szCs w:val="24"/>
        </w:rPr>
        <w:t xml:space="preserve"> which reflected a change in process not services.</w:t>
      </w:r>
    </w:p>
    <w:p w14:paraId="0958FD0B" w14:textId="77777777" w:rsidR="00A50388" w:rsidRDefault="00A50388" w:rsidP="00C32DAE">
      <w:pPr>
        <w:ind w:right="141"/>
        <w:rPr>
          <w:rFonts w:cs="Arial"/>
          <w:szCs w:val="24"/>
          <w:lang w:val="en-US"/>
        </w:rPr>
      </w:pPr>
    </w:p>
    <w:p w14:paraId="65281AB3" w14:textId="0D5F0277" w:rsidR="00B13D14" w:rsidRDefault="00B13D14" w:rsidP="00C32DAE">
      <w:pPr>
        <w:ind w:right="141"/>
        <w:rPr>
          <w:rFonts w:cs="Arial"/>
          <w:szCs w:val="24"/>
          <w:lang w:val="en-US"/>
        </w:rPr>
      </w:pPr>
    </w:p>
    <w:p w14:paraId="286D8A4A" w14:textId="77777777" w:rsidR="00B13D14" w:rsidRDefault="00B13D14" w:rsidP="00C32DAE">
      <w:pPr>
        <w:ind w:right="141"/>
        <w:rPr>
          <w:rFonts w:cs="Arial"/>
          <w:szCs w:val="24"/>
          <w:lang w:val="en-US"/>
        </w:rPr>
      </w:pPr>
    </w:p>
    <w:p w14:paraId="38C477A9" w14:textId="77777777" w:rsidR="00B13D14" w:rsidRDefault="00B13D14" w:rsidP="00C32DAE">
      <w:pPr>
        <w:ind w:right="141"/>
        <w:rPr>
          <w:rFonts w:cs="Arial"/>
          <w:szCs w:val="24"/>
          <w:lang w:val="en-US"/>
        </w:rPr>
      </w:pPr>
    </w:p>
    <w:p w14:paraId="4D0AFDD8" w14:textId="77777777" w:rsidR="00B13D14" w:rsidRDefault="00B13D14" w:rsidP="00C32DAE">
      <w:pPr>
        <w:ind w:right="141"/>
        <w:rPr>
          <w:rFonts w:cs="Arial"/>
          <w:szCs w:val="24"/>
          <w:lang w:val="en-US"/>
        </w:rPr>
      </w:pPr>
    </w:p>
    <w:p w14:paraId="7CE0208F" w14:textId="77777777" w:rsidR="00B13D14" w:rsidRDefault="00B13D14" w:rsidP="00C32DAE">
      <w:pPr>
        <w:ind w:right="141"/>
        <w:rPr>
          <w:rFonts w:cs="Arial"/>
          <w:szCs w:val="24"/>
          <w:lang w:val="en-US"/>
        </w:rPr>
      </w:pPr>
    </w:p>
    <w:p w14:paraId="711D5CAB" w14:textId="77777777" w:rsidR="00B13D14" w:rsidRDefault="00B13D14" w:rsidP="00C32DAE">
      <w:pPr>
        <w:ind w:right="141"/>
        <w:rPr>
          <w:rFonts w:cs="Arial"/>
          <w:szCs w:val="24"/>
          <w:lang w:val="en-US"/>
        </w:rPr>
      </w:pPr>
    </w:p>
    <w:p w14:paraId="3807A4C0" w14:textId="77777777" w:rsidR="00B13D14" w:rsidRDefault="00B13D14" w:rsidP="00C32DAE">
      <w:pPr>
        <w:ind w:right="141"/>
        <w:rPr>
          <w:rFonts w:cs="Arial"/>
          <w:szCs w:val="24"/>
          <w:lang w:val="en-US"/>
        </w:rPr>
      </w:pPr>
    </w:p>
    <w:p w14:paraId="1AFE1D87" w14:textId="77777777" w:rsidR="00B13D14" w:rsidRDefault="00B13D14" w:rsidP="00C32DAE">
      <w:pPr>
        <w:ind w:right="141"/>
        <w:rPr>
          <w:rFonts w:cs="Arial"/>
          <w:szCs w:val="24"/>
          <w:lang w:val="en-US"/>
        </w:rPr>
      </w:pPr>
    </w:p>
    <w:p w14:paraId="6ED03DB5" w14:textId="77777777" w:rsidR="00B13D14" w:rsidRDefault="00B13D14" w:rsidP="00C32DAE">
      <w:pPr>
        <w:ind w:right="141"/>
        <w:rPr>
          <w:rFonts w:cs="Arial"/>
          <w:szCs w:val="24"/>
          <w:lang w:val="en-US"/>
        </w:rPr>
      </w:pPr>
    </w:p>
    <w:p w14:paraId="73A8FFE0" w14:textId="77777777" w:rsidR="00B13D14" w:rsidRDefault="00B13D14" w:rsidP="00C32DAE">
      <w:pPr>
        <w:ind w:right="141"/>
        <w:rPr>
          <w:rFonts w:cs="Arial"/>
          <w:szCs w:val="24"/>
          <w:lang w:val="en-US"/>
        </w:rPr>
      </w:pPr>
    </w:p>
    <w:p w14:paraId="688CE237" w14:textId="77777777" w:rsidR="00B13D14" w:rsidRDefault="00B13D14" w:rsidP="00C32DAE">
      <w:pPr>
        <w:ind w:right="141"/>
        <w:rPr>
          <w:rFonts w:cs="Arial"/>
          <w:szCs w:val="24"/>
          <w:lang w:val="en-US"/>
        </w:rPr>
      </w:pPr>
    </w:p>
    <w:p w14:paraId="35F03B6E" w14:textId="77777777" w:rsidR="00BF6C06" w:rsidRPr="00CD57D8" w:rsidRDefault="005874F0" w:rsidP="00BF6C06">
      <w:pPr>
        <w:pStyle w:val="Heading2"/>
      </w:pPr>
      <w:r>
        <w:t>Council</w:t>
      </w:r>
      <w:r w:rsidR="00D34145">
        <w:t xml:space="preserve"> </w:t>
      </w:r>
      <w:r w:rsidR="00BF6C06" w:rsidRPr="00CD57D8">
        <w:t>Priorities</w:t>
      </w:r>
    </w:p>
    <w:p w14:paraId="5C24B9C9" w14:textId="77777777" w:rsidR="00BF6C06" w:rsidRDefault="00BF6C06" w:rsidP="00BF6C06">
      <w:pPr>
        <w:keepNext/>
        <w:ind w:right="144"/>
        <w:rPr>
          <w:rFonts w:cs="Arial"/>
          <w:szCs w:val="24"/>
          <w:lang w:val="en-US"/>
        </w:rPr>
      </w:pPr>
    </w:p>
    <w:p w14:paraId="07F83129" w14:textId="77777777" w:rsidR="000110EA" w:rsidRDefault="000110EA" w:rsidP="00BF6C06">
      <w:pPr>
        <w:keepNext/>
        <w:ind w:right="144"/>
        <w:rPr>
          <w:rFonts w:cs="Arial"/>
          <w:szCs w:val="24"/>
          <w:lang w:val="en-US"/>
        </w:rPr>
      </w:pPr>
      <w:r>
        <w:rPr>
          <w:rFonts w:cs="Arial"/>
          <w:szCs w:val="24"/>
          <w:lang w:val="en-US"/>
        </w:rPr>
        <w:t>Please identify how the decision sought delivers these priorities.</w:t>
      </w:r>
    </w:p>
    <w:p w14:paraId="57829CE7" w14:textId="77777777" w:rsidR="000110EA" w:rsidRPr="00CD57D8" w:rsidRDefault="000110EA" w:rsidP="00BF6C06">
      <w:pPr>
        <w:keepNext/>
        <w:ind w:right="144"/>
        <w:rPr>
          <w:rFonts w:cs="Arial"/>
          <w:szCs w:val="24"/>
          <w:lang w:val="en-US"/>
        </w:rPr>
      </w:pPr>
    </w:p>
    <w:p w14:paraId="48CA2DCC" w14:textId="77777777"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14:paraId="28248D25" w14:textId="77777777" w:rsidR="00A50388" w:rsidRDefault="00A50388" w:rsidP="00A50388">
      <w:pPr>
        <w:pStyle w:val="ListParagraph"/>
        <w:numPr>
          <w:ilvl w:val="0"/>
          <w:numId w:val="9"/>
        </w:numPr>
        <w:autoSpaceDE w:val="0"/>
        <w:autoSpaceDN w:val="0"/>
        <w:contextualSpacing/>
      </w:pPr>
      <w:r>
        <w:t>More people are actively engaged in sporting, artistic and cultural activities in ways that improve physical and mental health and community cohesion</w:t>
      </w:r>
    </w:p>
    <w:p w14:paraId="1D479AC3" w14:textId="77777777" w:rsidR="00A50388" w:rsidRDefault="00A50388" w:rsidP="00A50388">
      <w:pPr>
        <w:autoSpaceDE w:val="0"/>
        <w:autoSpaceDN w:val="0"/>
        <w:rPr>
          <w:b/>
          <w:bCs/>
        </w:rPr>
      </w:pPr>
    </w:p>
    <w:p w14:paraId="5F08E7E8" w14:textId="77777777" w:rsidR="00A50388" w:rsidRDefault="00A50388" w:rsidP="00A50388">
      <w:pPr>
        <w:pStyle w:val="ListParagraph"/>
        <w:numPr>
          <w:ilvl w:val="0"/>
          <w:numId w:val="8"/>
        </w:numPr>
        <w:autoSpaceDE w:val="0"/>
        <w:autoSpaceDN w:val="0"/>
        <w:contextualSpacing/>
        <w:rPr>
          <w:b/>
          <w:bCs/>
        </w:rPr>
      </w:pPr>
      <w:r>
        <w:rPr>
          <w:b/>
          <w:bCs/>
        </w:rPr>
        <w:t>Supporting Those Most in Need</w:t>
      </w:r>
    </w:p>
    <w:p w14:paraId="1690D97B" w14:textId="77777777" w:rsidR="00A50388" w:rsidRDefault="00A50388" w:rsidP="00A50388">
      <w:pPr>
        <w:pStyle w:val="ListParagraph"/>
        <w:numPr>
          <w:ilvl w:val="0"/>
          <w:numId w:val="10"/>
        </w:numPr>
        <w:autoSpaceDE w:val="0"/>
        <w:autoSpaceDN w:val="0"/>
        <w:contextualSpacing/>
      </w:pPr>
      <w:r>
        <w:t>Empower residents to maintain their well-being and independence</w:t>
      </w:r>
    </w:p>
    <w:p w14:paraId="353CC03B" w14:textId="77777777" w:rsidR="00A50388" w:rsidRPr="00F22C98" w:rsidRDefault="00A50388" w:rsidP="00A50388"/>
    <w:p w14:paraId="76A76309"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0E8F34AD" w14:textId="77777777" w:rsidR="002A2389" w:rsidRDefault="002A2389" w:rsidP="008D1750">
      <w:pPr>
        <w:pStyle w:val="Heading1"/>
        <w:keepNext/>
      </w:pPr>
      <w:r>
        <w:t>Section 3 - Statutory Officer Clearance</w:t>
      </w:r>
      <w:r w:rsidR="00BE1C78">
        <w:t xml:space="preserve"> </w:t>
      </w:r>
      <w:r w:rsidR="001417FD">
        <w:t>(Council and Joint Reports)</w:t>
      </w:r>
    </w:p>
    <w:p w14:paraId="29FF9B72"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14:paraId="2B4A2362" w14:textId="77777777">
        <w:tc>
          <w:tcPr>
            <w:tcW w:w="2791" w:type="pct"/>
            <w:tcBorders>
              <w:bottom w:val="nil"/>
              <w:right w:val="nil"/>
            </w:tcBorders>
          </w:tcPr>
          <w:p w14:paraId="4DFB1ABD" w14:textId="77777777" w:rsidR="002A2389" w:rsidRDefault="002A2389">
            <w:pPr>
              <w:pStyle w:val="Infotext"/>
            </w:pPr>
          </w:p>
          <w:p w14:paraId="353D9296" w14:textId="77777777" w:rsidR="002A2389" w:rsidRDefault="002A2389">
            <w:pPr>
              <w:pStyle w:val="Infotext"/>
            </w:pPr>
          </w:p>
        </w:tc>
        <w:tc>
          <w:tcPr>
            <w:tcW w:w="138" w:type="pct"/>
            <w:tcBorders>
              <w:left w:val="nil"/>
              <w:right w:val="nil"/>
            </w:tcBorders>
          </w:tcPr>
          <w:p w14:paraId="162D5ABD" w14:textId="77777777" w:rsidR="002A2389" w:rsidRDefault="002A2389">
            <w:pPr>
              <w:pStyle w:val="Infotext"/>
            </w:pPr>
          </w:p>
        </w:tc>
        <w:tc>
          <w:tcPr>
            <w:tcW w:w="138" w:type="pct"/>
            <w:tcBorders>
              <w:left w:val="nil"/>
              <w:bottom w:val="nil"/>
              <w:right w:val="nil"/>
            </w:tcBorders>
          </w:tcPr>
          <w:p w14:paraId="64FEBAC2" w14:textId="77777777" w:rsidR="002A2389" w:rsidRDefault="002A2389">
            <w:pPr>
              <w:pStyle w:val="Infotext"/>
            </w:pPr>
          </w:p>
        </w:tc>
        <w:tc>
          <w:tcPr>
            <w:tcW w:w="1932" w:type="pct"/>
            <w:tcBorders>
              <w:left w:val="nil"/>
              <w:bottom w:val="nil"/>
            </w:tcBorders>
          </w:tcPr>
          <w:p w14:paraId="1B4F83DD" w14:textId="77777777" w:rsidR="002A2389" w:rsidRDefault="002A2389">
            <w:pPr>
              <w:pStyle w:val="Infotext"/>
            </w:pPr>
          </w:p>
          <w:p w14:paraId="54827187" w14:textId="707D581C" w:rsidR="002A2389" w:rsidRDefault="002A2389" w:rsidP="00673E4A">
            <w:pPr>
              <w:pStyle w:val="Infotext"/>
            </w:pPr>
            <w:r>
              <w:t>on behalf of the</w:t>
            </w:r>
          </w:p>
        </w:tc>
      </w:tr>
      <w:tr w:rsidR="002A2389" w14:paraId="7378855B" w14:textId="77777777">
        <w:tc>
          <w:tcPr>
            <w:tcW w:w="2791" w:type="pct"/>
            <w:tcBorders>
              <w:top w:val="nil"/>
              <w:bottom w:val="nil"/>
            </w:tcBorders>
          </w:tcPr>
          <w:p w14:paraId="563C2A30" w14:textId="37DC97E0" w:rsidR="002A2389" w:rsidRDefault="002A2389" w:rsidP="00C171C8">
            <w:pPr>
              <w:pStyle w:val="Infotext"/>
            </w:pPr>
            <w:r>
              <w:t>Name:</w:t>
            </w:r>
            <w:r w:rsidR="00C171C8">
              <w:t xml:space="preserve">  </w:t>
            </w:r>
            <w:r w:rsidR="00A7180E">
              <w:t>Donna Edwards</w:t>
            </w:r>
          </w:p>
        </w:tc>
        <w:tc>
          <w:tcPr>
            <w:tcW w:w="138" w:type="pct"/>
            <w:tcBorders>
              <w:bottom w:val="single" w:sz="4" w:space="0" w:color="auto"/>
            </w:tcBorders>
          </w:tcPr>
          <w:p w14:paraId="5D2B4722" w14:textId="2F4CFEED" w:rsidR="002A2389" w:rsidRDefault="00A7180E">
            <w:pPr>
              <w:pStyle w:val="Infotext"/>
            </w:pPr>
            <w:r>
              <w:t>x</w:t>
            </w:r>
          </w:p>
        </w:tc>
        <w:tc>
          <w:tcPr>
            <w:tcW w:w="138" w:type="pct"/>
            <w:tcBorders>
              <w:top w:val="nil"/>
              <w:bottom w:val="nil"/>
              <w:right w:val="nil"/>
            </w:tcBorders>
          </w:tcPr>
          <w:p w14:paraId="6054B911" w14:textId="77777777" w:rsidR="002A2389" w:rsidRDefault="002A2389">
            <w:pPr>
              <w:pStyle w:val="Infotext"/>
            </w:pPr>
          </w:p>
        </w:tc>
        <w:tc>
          <w:tcPr>
            <w:tcW w:w="1932" w:type="pct"/>
            <w:tcBorders>
              <w:top w:val="nil"/>
              <w:left w:val="nil"/>
              <w:bottom w:val="nil"/>
            </w:tcBorders>
          </w:tcPr>
          <w:p w14:paraId="2D4CB996" w14:textId="77777777" w:rsidR="002A2389" w:rsidRDefault="002A2389">
            <w:pPr>
              <w:pStyle w:val="Infotext"/>
            </w:pPr>
            <w:r>
              <w:t>Chief Financial Officer</w:t>
            </w:r>
          </w:p>
        </w:tc>
      </w:tr>
      <w:tr w:rsidR="002A2389" w14:paraId="05F7E0F0" w14:textId="77777777">
        <w:tc>
          <w:tcPr>
            <w:tcW w:w="2791" w:type="pct"/>
            <w:tcBorders>
              <w:top w:val="nil"/>
              <w:right w:val="nil"/>
            </w:tcBorders>
          </w:tcPr>
          <w:p w14:paraId="71A0FA67" w14:textId="77777777" w:rsidR="002A2389" w:rsidRDefault="002A2389">
            <w:pPr>
              <w:pStyle w:val="Infotext"/>
            </w:pPr>
            <w:r>
              <w:t xml:space="preserve"> </w:t>
            </w:r>
          </w:p>
          <w:p w14:paraId="47B3357B" w14:textId="19617EA5" w:rsidR="002A2389" w:rsidRDefault="002A2389" w:rsidP="00C171C8">
            <w:pPr>
              <w:pStyle w:val="Infotext"/>
            </w:pPr>
            <w:r>
              <w:t xml:space="preserve">Date: </w:t>
            </w:r>
            <w:r w:rsidR="00C171C8">
              <w:t xml:space="preserve"> </w:t>
            </w:r>
            <w:r w:rsidR="00A7180E">
              <w:t>06.12.2019</w:t>
            </w:r>
          </w:p>
        </w:tc>
        <w:tc>
          <w:tcPr>
            <w:tcW w:w="138" w:type="pct"/>
            <w:tcBorders>
              <w:left w:val="nil"/>
              <w:bottom w:val="single" w:sz="4" w:space="0" w:color="auto"/>
              <w:right w:val="nil"/>
            </w:tcBorders>
          </w:tcPr>
          <w:p w14:paraId="41179776" w14:textId="77777777" w:rsidR="002A2389" w:rsidRDefault="002A2389">
            <w:pPr>
              <w:pStyle w:val="Infotext"/>
            </w:pPr>
          </w:p>
        </w:tc>
        <w:tc>
          <w:tcPr>
            <w:tcW w:w="138" w:type="pct"/>
            <w:tcBorders>
              <w:top w:val="nil"/>
              <w:left w:val="nil"/>
              <w:right w:val="nil"/>
            </w:tcBorders>
          </w:tcPr>
          <w:p w14:paraId="411A534C" w14:textId="77777777" w:rsidR="002A2389" w:rsidRDefault="002A2389">
            <w:pPr>
              <w:pStyle w:val="Infotext"/>
            </w:pPr>
          </w:p>
        </w:tc>
        <w:tc>
          <w:tcPr>
            <w:tcW w:w="1932" w:type="pct"/>
            <w:tcBorders>
              <w:top w:val="nil"/>
              <w:left w:val="nil"/>
            </w:tcBorders>
          </w:tcPr>
          <w:p w14:paraId="29FA64C0" w14:textId="77777777" w:rsidR="002A2389" w:rsidRDefault="002A2389">
            <w:pPr>
              <w:pStyle w:val="Infotext"/>
            </w:pPr>
          </w:p>
        </w:tc>
      </w:tr>
      <w:tr w:rsidR="002A2389" w14:paraId="12248C74" w14:textId="77777777">
        <w:tc>
          <w:tcPr>
            <w:tcW w:w="2791" w:type="pct"/>
            <w:tcBorders>
              <w:bottom w:val="nil"/>
              <w:right w:val="nil"/>
            </w:tcBorders>
          </w:tcPr>
          <w:p w14:paraId="117CF9BC" w14:textId="77777777" w:rsidR="002A2389" w:rsidRDefault="002A2389">
            <w:pPr>
              <w:pStyle w:val="Infotext"/>
            </w:pPr>
          </w:p>
          <w:p w14:paraId="02854AA9" w14:textId="77777777" w:rsidR="002A2389" w:rsidRDefault="002A2389">
            <w:pPr>
              <w:pStyle w:val="Infotext"/>
            </w:pPr>
          </w:p>
        </w:tc>
        <w:tc>
          <w:tcPr>
            <w:tcW w:w="138" w:type="pct"/>
            <w:tcBorders>
              <w:left w:val="nil"/>
              <w:right w:val="nil"/>
            </w:tcBorders>
          </w:tcPr>
          <w:p w14:paraId="4E8DF30F" w14:textId="77777777" w:rsidR="002A2389" w:rsidRDefault="002A2389">
            <w:pPr>
              <w:pStyle w:val="Infotext"/>
            </w:pPr>
          </w:p>
        </w:tc>
        <w:tc>
          <w:tcPr>
            <w:tcW w:w="138" w:type="pct"/>
            <w:tcBorders>
              <w:left w:val="nil"/>
              <w:bottom w:val="nil"/>
              <w:right w:val="nil"/>
            </w:tcBorders>
          </w:tcPr>
          <w:p w14:paraId="36B27319" w14:textId="77777777" w:rsidR="002A2389" w:rsidRDefault="002A2389">
            <w:pPr>
              <w:pStyle w:val="Infotext"/>
            </w:pPr>
          </w:p>
        </w:tc>
        <w:tc>
          <w:tcPr>
            <w:tcW w:w="1932" w:type="pct"/>
            <w:tcBorders>
              <w:left w:val="nil"/>
              <w:bottom w:val="nil"/>
            </w:tcBorders>
          </w:tcPr>
          <w:p w14:paraId="76F65F18" w14:textId="77777777" w:rsidR="002A2389" w:rsidRDefault="002A2389">
            <w:pPr>
              <w:pStyle w:val="Infotext"/>
            </w:pPr>
          </w:p>
          <w:p w14:paraId="64AB13D4" w14:textId="13AA11CD" w:rsidR="002A2389" w:rsidRDefault="002A2389" w:rsidP="00673E4A">
            <w:pPr>
              <w:pStyle w:val="Infotext"/>
            </w:pPr>
            <w:r>
              <w:t>on behalf of</w:t>
            </w:r>
          </w:p>
        </w:tc>
      </w:tr>
      <w:tr w:rsidR="002A2389" w14:paraId="7479B497" w14:textId="77777777">
        <w:tc>
          <w:tcPr>
            <w:tcW w:w="2791" w:type="pct"/>
            <w:tcBorders>
              <w:top w:val="nil"/>
              <w:bottom w:val="nil"/>
            </w:tcBorders>
          </w:tcPr>
          <w:p w14:paraId="1F2CE8DA" w14:textId="1D82AF3A" w:rsidR="002A2389" w:rsidRDefault="002A2389" w:rsidP="00C171C8">
            <w:pPr>
              <w:pStyle w:val="Infotext"/>
            </w:pPr>
            <w:r>
              <w:t xml:space="preserve">Name: </w:t>
            </w:r>
            <w:r w:rsidR="00C171C8">
              <w:t xml:space="preserve"> </w:t>
            </w:r>
            <w:r w:rsidR="00A7180E">
              <w:t>Sharon Clarke</w:t>
            </w:r>
          </w:p>
        </w:tc>
        <w:tc>
          <w:tcPr>
            <w:tcW w:w="138" w:type="pct"/>
            <w:tcBorders>
              <w:bottom w:val="single" w:sz="4" w:space="0" w:color="auto"/>
            </w:tcBorders>
          </w:tcPr>
          <w:p w14:paraId="18EDBB34" w14:textId="4C44433A" w:rsidR="002A2389" w:rsidRDefault="00A7180E">
            <w:pPr>
              <w:pStyle w:val="Infotext"/>
            </w:pPr>
            <w:r>
              <w:t>x</w:t>
            </w:r>
          </w:p>
        </w:tc>
        <w:tc>
          <w:tcPr>
            <w:tcW w:w="138" w:type="pct"/>
            <w:tcBorders>
              <w:top w:val="nil"/>
              <w:bottom w:val="nil"/>
              <w:right w:val="nil"/>
            </w:tcBorders>
          </w:tcPr>
          <w:p w14:paraId="733382B8" w14:textId="77777777" w:rsidR="002A2389" w:rsidRDefault="002A2389">
            <w:pPr>
              <w:pStyle w:val="Infotext"/>
            </w:pPr>
          </w:p>
        </w:tc>
        <w:tc>
          <w:tcPr>
            <w:tcW w:w="1932" w:type="pct"/>
            <w:tcBorders>
              <w:top w:val="nil"/>
              <w:left w:val="nil"/>
              <w:bottom w:val="nil"/>
            </w:tcBorders>
          </w:tcPr>
          <w:p w14:paraId="1A2ABBF7" w14:textId="0A808352" w:rsidR="002A2389" w:rsidRDefault="00A7180E">
            <w:pPr>
              <w:pStyle w:val="Infotext"/>
            </w:pPr>
            <w:r>
              <w:t>Legal Services</w:t>
            </w:r>
          </w:p>
        </w:tc>
      </w:tr>
      <w:tr w:rsidR="002A2389" w14:paraId="6CE4392B" w14:textId="77777777">
        <w:tc>
          <w:tcPr>
            <w:tcW w:w="2791" w:type="pct"/>
            <w:tcBorders>
              <w:top w:val="nil"/>
              <w:right w:val="nil"/>
            </w:tcBorders>
          </w:tcPr>
          <w:p w14:paraId="7C11F818" w14:textId="77777777" w:rsidR="002A2389" w:rsidRDefault="002A2389">
            <w:pPr>
              <w:pStyle w:val="Infotext"/>
            </w:pPr>
          </w:p>
          <w:p w14:paraId="586798A5" w14:textId="3988F2D4" w:rsidR="002A2389" w:rsidRDefault="002A2389" w:rsidP="00C171C8">
            <w:pPr>
              <w:pStyle w:val="Infotext"/>
            </w:pPr>
            <w:r>
              <w:t xml:space="preserve">Date: </w:t>
            </w:r>
            <w:r w:rsidR="00C171C8">
              <w:t xml:space="preserve"> </w:t>
            </w:r>
            <w:r w:rsidR="00A7180E">
              <w:t>07.10.2019</w:t>
            </w:r>
          </w:p>
        </w:tc>
        <w:tc>
          <w:tcPr>
            <w:tcW w:w="138" w:type="pct"/>
            <w:tcBorders>
              <w:left w:val="nil"/>
              <w:right w:val="nil"/>
            </w:tcBorders>
          </w:tcPr>
          <w:p w14:paraId="1957C963" w14:textId="77777777" w:rsidR="002A2389" w:rsidRDefault="002A2389">
            <w:pPr>
              <w:pStyle w:val="Infotext"/>
            </w:pPr>
          </w:p>
        </w:tc>
        <w:tc>
          <w:tcPr>
            <w:tcW w:w="138" w:type="pct"/>
            <w:tcBorders>
              <w:top w:val="nil"/>
              <w:left w:val="nil"/>
              <w:right w:val="nil"/>
            </w:tcBorders>
          </w:tcPr>
          <w:p w14:paraId="57D58D77" w14:textId="77777777" w:rsidR="002A2389" w:rsidRDefault="002A2389">
            <w:pPr>
              <w:pStyle w:val="Infotext"/>
            </w:pPr>
          </w:p>
        </w:tc>
        <w:tc>
          <w:tcPr>
            <w:tcW w:w="1932" w:type="pct"/>
            <w:tcBorders>
              <w:top w:val="nil"/>
              <w:left w:val="nil"/>
            </w:tcBorders>
          </w:tcPr>
          <w:p w14:paraId="36A0F868" w14:textId="77777777" w:rsidR="002A2389" w:rsidRDefault="002A2389">
            <w:pPr>
              <w:pStyle w:val="Infotext"/>
            </w:pPr>
          </w:p>
          <w:p w14:paraId="58667004" w14:textId="77777777" w:rsidR="002A2389" w:rsidRDefault="002A2389">
            <w:pPr>
              <w:pStyle w:val="Infotext"/>
            </w:pPr>
          </w:p>
        </w:tc>
      </w:tr>
    </w:tbl>
    <w:p w14:paraId="0A722029" w14:textId="77777777" w:rsidR="002A2389" w:rsidRDefault="002A2389">
      <w:pPr>
        <w:rPr>
          <w:szCs w:val="24"/>
        </w:rPr>
      </w:pPr>
    </w:p>
    <w:p w14:paraId="574869FC" w14:textId="77777777" w:rsidR="00A51FAE" w:rsidRDefault="00A51FAE">
      <w:pPr>
        <w:rPr>
          <w:szCs w:val="24"/>
        </w:rPr>
      </w:pPr>
    </w:p>
    <w:p w14:paraId="1016BF04"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83"/>
        <w:gridCol w:w="234"/>
        <w:gridCol w:w="3570"/>
      </w:tblGrid>
      <w:tr w:rsidR="00080819" w14:paraId="0C8946FE" w14:textId="77777777" w:rsidTr="00FF30F2">
        <w:tc>
          <w:tcPr>
            <w:tcW w:w="4752" w:type="dxa"/>
            <w:tcBorders>
              <w:bottom w:val="nil"/>
              <w:right w:val="nil"/>
            </w:tcBorders>
          </w:tcPr>
          <w:p w14:paraId="53AAC775" w14:textId="77777777" w:rsidR="00080819" w:rsidRDefault="00080819" w:rsidP="00FF30F2">
            <w:pPr>
              <w:pStyle w:val="Infotext"/>
            </w:pPr>
          </w:p>
          <w:p w14:paraId="59B2A686" w14:textId="77777777" w:rsidR="00080819" w:rsidRDefault="00080819" w:rsidP="00FF30F2">
            <w:pPr>
              <w:pStyle w:val="Infotext"/>
            </w:pPr>
          </w:p>
        </w:tc>
        <w:tc>
          <w:tcPr>
            <w:tcW w:w="387" w:type="dxa"/>
            <w:tcBorders>
              <w:left w:val="nil"/>
              <w:right w:val="nil"/>
            </w:tcBorders>
          </w:tcPr>
          <w:p w14:paraId="35AB4669" w14:textId="77777777" w:rsidR="00080819" w:rsidRDefault="00080819" w:rsidP="00FF30F2">
            <w:pPr>
              <w:pStyle w:val="Infotext"/>
            </w:pPr>
          </w:p>
        </w:tc>
        <w:tc>
          <w:tcPr>
            <w:tcW w:w="236" w:type="dxa"/>
            <w:tcBorders>
              <w:left w:val="nil"/>
              <w:bottom w:val="nil"/>
              <w:right w:val="nil"/>
            </w:tcBorders>
          </w:tcPr>
          <w:p w14:paraId="06B8FAEC" w14:textId="77777777" w:rsidR="00080819" w:rsidRDefault="00080819" w:rsidP="00FF30F2">
            <w:pPr>
              <w:pStyle w:val="Infotext"/>
            </w:pPr>
          </w:p>
        </w:tc>
        <w:tc>
          <w:tcPr>
            <w:tcW w:w="3890" w:type="dxa"/>
            <w:tcBorders>
              <w:left w:val="nil"/>
              <w:bottom w:val="nil"/>
            </w:tcBorders>
          </w:tcPr>
          <w:p w14:paraId="017EDBDF" w14:textId="77777777" w:rsidR="00080819" w:rsidRDefault="00080819" w:rsidP="00FF30F2">
            <w:pPr>
              <w:pStyle w:val="Infotext"/>
            </w:pPr>
          </w:p>
          <w:p w14:paraId="7AC5ACF6" w14:textId="77777777" w:rsidR="00080819" w:rsidRDefault="00080819" w:rsidP="00FF30F2">
            <w:pPr>
              <w:pStyle w:val="Infotext"/>
            </w:pPr>
          </w:p>
        </w:tc>
      </w:tr>
      <w:tr w:rsidR="00080819" w14:paraId="29DB8E70" w14:textId="77777777" w:rsidTr="00FF30F2">
        <w:tc>
          <w:tcPr>
            <w:tcW w:w="4752" w:type="dxa"/>
            <w:tcBorders>
              <w:top w:val="nil"/>
              <w:bottom w:val="nil"/>
            </w:tcBorders>
          </w:tcPr>
          <w:p w14:paraId="09753367" w14:textId="6B4136AE" w:rsidR="00080819" w:rsidRDefault="00080819" w:rsidP="00C171C8">
            <w:pPr>
              <w:pStyle w:val="Infotext"/>
            </w:pPr>
            <w:r>
              <w:t xml:space="preserve">Name: </w:t>
            </w:r>
            <w:r w:rsidR="00C171C8">
              <w:t xml:space="preserve"> </w:t>
            </w:r>
            <w:r w:rsidR="00A7180E">
              <w:t>Paul Hewitt</w:t>
            </w:r>
          </w:p>
        </w:tc>
        <w:tc>
          <w:tcPr>
            <w:tcW w:w="387" w:type="dxa"/>
            <w:tcBorders>
              <w:bottom w:val="single" w:sz="4" w:space="0" w:color="auto"/>
            </w:tcBorders>
          </w:tcPr>
          <w:p w14:paraId="7041A193" w14:textId="55D86FAE" w:rsidR="00080819" w:rsidRDefault="00A7180E" w:rsidP="00FF30F2">
            <w:pPr>
              <w:pStyle w:val="Infotext"/>
            </w:pPr>
            <w:r>
              <w:t>x</w:t>
            </w:r>
          </w:p>
        </w:tc>
        <w:tc>
          <w:tcPr>
            <w:tcW w:w="236" w:type="dxa"/>
            <w:tcBorders>
              <w:top w:val="nil"/>
              <w:bottom w:val="nil"/>
              <w:right w:val="nil"/>
            </w:tcBorders>
          </w:tcPr>
          <w:p w14:paraId="20E07638" w14:textId="77777777" w:rsidR="00080819" w:rsidRDefault="00080819" w:rsidP="00FF30F2">
            <w:pPr>
              <w:pStyle w:val="Infotext"/>
            </w:pPr>
          </w:p>
        </w:tc>
        <w:tc>
          <w:tcPr>
            <w:tcW w:w="3890" w:type="dxa"/>
            <w:tcBorders>
              <w:top w:val="nil"/>
              <w:left w:val="nil"/>
              <w:bottom w:val="nil"/>
            </w:tcBorders>
          </w:tcPr>
          <w:p w14:paraId="5E2418E2" w14:textId="77777777" w:rsidR="00080819" w:rsidRDefault="00080819" w:rsidP="00FF30F2">
            <w:pPr>
              <w:pStyle w:val="Infotext"/>
            </w:pPr>
            <w:r>
              <w:t>Corporate Director</w:t>
            </w:r>
          </w:p>
        </w:tc>
      </w:tr>
      <w:tr w:rsidR="00080819" w14:paraId="6F6745A4" w14:textId="77777777" w:rsidTr="00FF30F2">
        <w:tc>
          <w:tcPr>
            <w:tcW w:w="4752" w:type="dxa"/>
            <w:tcBorders>
              <w:top w:val="nil"/>
              <w:right w:val="nil"/>
            </w:tcBorders>
          </w:tcPr>
          <w:p w14:paraId="66F42D96" w14:textId="77777777" w:rsidR="00080819" w:rsidRDefault="00080819" w:rsidP="00FF30F2">
            <w:pPr>
              <w:pStyle w:val="Infotext"/>
            </w:pPr>
            <w:r>
              <w:t xml:space="preserve"> </w:t>
            </w:r>
          </w:p>
          <w:p w14:paraId="4085B799" w14:textId="32F45A61" w:rsidR="00080819" w:rsidRDefault="00080819" w:rsidP="00C171C8">
            <w:pPr>
              <w:pStyle w:val="Infotext"/>
            </w:pPr>
            <w:r>
              <w:t xml:space="preserve">Date: </w:t>
            </w:r>
            <w:r w:rsidR="00C171C8">
              <w:t xml:space="preserve"> </w:t>
            </w:r>
            <w:r w:rsidR="00A7180E">
              <w:t>14.10.2019</w:t>
            </w:r>
          </w:p>
        </w:tc>
        <w:tc>
          <w:tcPr>
            <w:tcW w:w="387" w:type="dxa"/>
            <w:tcBorders>
              <w:left w:val="nil"/>
              <w:bottom w:val="single" w:sz="4" w:space="0" w:color="auto"/>
              <w:right w:val="nil"/>
            </w:tcBorders>
          </w:tcPr>
          <w:p w14:paraId="64E135D5" w14:textId="77777777" w:rsidR="00080819" w:rsidRDefault="00080819" w:rsidP="00FF30F2">
            <w:pPr>
              <w:pStyle w:val="Infotext"/>
            </w:pPr>
          </w:p>
        </w:tc>
        <w:tc>
          <w:tcPr>
            <w:tcW w:w="236" w:type="dxa"/>
            <w:tcBorders>
              <w:top w:val="nil"/>
              <w:left w:val="nil"/>
              <w:right w:val="nil"/>
            </w:tcBorders>
          </w:tcPr>
          <w:p w14:paraId="2EDB10A2" w14:textId="77777777" w:rsidR="00080819" w:rsidRDefault="00080819" w:rsidP="00FF30F2">
            <w:pPr>
              <w:pStyle w:val="Infotext"/>
            </w:pPr>
          </w:p>
        </w:tc>
        <w:tc>
          <w:tcPr>
            <w:tcW w:w="3890" w:type="dxa"/>
            <w:tcBorders>
              <w:top w:val="nil"/>
              <w:left w:val="nil"/>
            </w:tcBorders>
          </w:tcPr>
          <w:p w14:paraId="2519F20B" w14:textId="77777777" w:rsidR="00080819" w:rsidRDefault="00080819" w:rsidP="00FF30F2">
            <w:pPr>
              <w:pStyle w:val="Infotext"/>
            </w:pPr>
          </w:p>
        </w:tc>
      </w:tr>
    </w:tbl>
    <w:p w14:paraId="67E7A6E0" w14:textId="77777777" w:rsidR="00080819" w:rsidRDefault="00080819">
      <w:pPr>
        <w:rPr>
          <w:szCs w:val="24"/>
        </w:rPr>
      </w:pPr>
    </w:p>
    <w:p w14:paraId="3CF9DAC8" w14:textId="77777777" w:rsidR="00080819" w:rsidRDefault="00080819">
      <w:pPr>
        <w:rPr>
          <w:szCs w:val="24"/>
        </w:rPr>
      </w:pPr>
    </w:p>
    <w:p w14:paraId="584B0AB7"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14:paraId="18494185" w14:textId="77777777">
        <w:trPr>
          <w:trHeight w:val="965"/>
        </w:trPr>
        <w:tc>
          <w:tcPr>
            <w:tcW w:w="3025" w:type="pct"/>
            <w:tcBorders>
              <w:right w:val="nil"/>
            </w:tcBorders>
          </w:tcPr>
          <w:p w14:paraId="51E6E313" w14:textId="77777777" w:rsidR="00A51FAE" w:rsidRDefault="00A51FAE" w:rsidP="004213D7">
            <w:pPr>
              <w:pStyle w:val="Infotext"/>
              <w:rPr>
                <w:rFonts w:ascii="Arial Black" w:hAnsi="Arial Black"/>
              </w:rPr>
            </w:pPr>
          </w:p>
          <w:p w14:paraId="21A22C84" w14:textId="79261EF7" w:rsidR="00A51FAE" w:rsidRDefault="001444D4" w:rsidP="004213D7">
            <w:pPr>
              <w:pStyle w:val="Infotext"/>
              <w:rPr>
                <w:rFonts w:ascii="Arial Black" w:hAnsi="Arial Black"/>
              </w:rPr>
            </w:pPr>
            <w:r>
              <w:rPr>
                <w:rFonts w:ascii="Arial Black" w:hAnsi="Arial Black"/>
              </w:rPr>
              <w:t>Ward Councillors notified</w:t>
            </w:r>
          </w:p>
          <w:p w14:paraId="65928AE9" w14:textId="0D480FE3" w:rsidR="00A51FAE" w:rsidRPr="00A50388" w:rsidRDefault="00A51FAE" w:rsidP="004213D7">
            <w:pPr>
              <w:pStyle w:val="Infotext"/>
              <w:rPr>
                <w:b/>
                <w:color w:val="FF0000"/>
              </w:rPr>
            </w:pPr>
          </w:p>
        </w:tc>
        <w:tc>
          <w:tcPr>
            <w:tcW w:w="1975" w:type="pct"/>
            <w:tcBorders>
              <w:left w:val="nil"/>
            </w:tcBorders>
          </w:tcPr>
          <w:p w14:paraId="41E7E702" w14:textId="77777777" w:rsidR="00A51FAE" w:rsidRDefault="00A51FAE" w:rsidP="004213D7">
            <w:pPr>
              <w:pStyle w:val="Infotext"/>
            </w:pPr>
          </w:p>
          <w:p w14:paraId="3082F578" w14:textId="661FDC60" w:rsidR="00A51FAE" w:rsidRPr="001444D4" w:rsidRDefault="00A51FAE" w:rsidP="001444D4">
            <w:pPr>
              <w:pStyle w:val="Infotext"/>
              <w:spacing w:before="120"/>
              <w:rPr>
                <w:b/>
              </w:rPr>
            </w:pPr>
            <w:r w:rsidRPr="00A406F3">
              <w:rPr>
                <w:b/>
              </w:rPr>
              <w:t>YES</w:t>
            </w:r>
          </w:p>
          <w:p w14:paraId="2B0FCD71" w14:textId="77777777" w:rsidR="00A51FAE" w:rsidRPr="003D78F6" w:rsidRDefault="00A51FAE" w:rsidP="004213D7">
            <w:pPr>
              <w:pStyle w:val="Infotext"/>
              <w:ind w:left="173"/>
              <w:rPr>
                <w:i/>
                <w:sz w:val="24"/>
                <w:szCs w:val="24"/>
              </w:rPr>
            </w:pPr>
          </w:p>
        </w:tc>
      </w:tr>
    </w:tbl>
    <w:p w14:paraId="4D633A25" w14:textId="77777777" w:rsidR="00A51FAE" w:rsidRPr="00A51FAE" w:rsidRDefault="00A51FAE">
      <w:pPr>
        <w:rPr>
          <w:szCs w:val="24"/>
        </w:rPr>
      </w:pPr>
    </w:p>
    <w:p w14:paraId="72BA8B6F" w14:textId="77777777" w:rsidR="00EE0325" w:rsidRPr="00A51FAE" w:rsidRDefault="00EE0325" w:rsidP="008D1750">
      <w:pPr>
        <w:pStyle w:val="Heading1"/>
        <w:keepNext/>
        <w:rPr>
          <w:rFonts w:ascii="Arial" w:hAnsi="Arial"/>
          <w:sz w:val="24"/>
          <w:szCs w:val="24"/>
        </w:rPr>
      </w:pPr>
    </w:p>
    <w:p w14:paraId="79841409" w14:textId="77777777" w:rsidR="00A51FAE" w:rsidRPr="00A51FAE" w:rsidRDefault="00A51FAE" w:rsidP="00A51FAE">
      <w:pPr>
        <w:rPr>
          <w:szCs w:val="24"/>
        </w:rPr>
      </w:pPr>
    </w:p>
    <w:p w14:paraId="5B01A111" w14:textId="77777777" w:rsidR="002A2389" w:rsidRDefault="002A2389" w:rsidP="008D1750">
      <w:pPr>
        <w:pStyle w:val="Heading1"/>
        <w:keepNext/>
      </w:pPr>
      <w:r>
        <w:t>Section 4 - Contact Details and Background Papers</w:t>
      </w:r>
    </w:p>
    <w:p w14:paraId="688CF67E" w14:textId="77777777" w:rsidR="002A2389" w:rsidRDefault="002A2389" w:rsidP="008D1750">
      <w:pPr>
        <w:keepNext/>
        <w:rPr>
          <w:rFonts w:cs="Arial"/>
        </w:rPr>
      </w:pPr>
    </w:p>
    <w:p w14:paraId="02D94081" w14:textId="77777777" w:rsidR="002A2389" w:rsidRDefault="002A2389"/>
    <w:p w14:paraId="01DB688E" w14:textId="77777777" w:rsidR="00FC0167" w:rsidRDefault="002A2389" w:rsidP="00973893">
      <w:pPr>
        <w:ind w:left="720" w:right="-622" w:hanging="720"/>
      </w:pPr>
      <w:r w:rsidRPr="00D914D2">
        <w:rPr>
          <w:b/>
        </w:rPr>
        <w:t>Contact:</w:t>
      </w:r>
      <w:r>
        <w:t xml:space="preserve">  </w:t>
      </w:r>
    </w:p>
    <w:p w14:paraId="188211D2" w14:textId="77777777" w:rsidR="00FC0167" w:rsidRDefault="00FC0167" w:rsidP="00973893">
      <w:pPr>
        <w:ind w:left="720" w:right="-622" w:hanging="720"/>
      </w:pPr>
    </w:p>
    <w:p w14:paraId="79EC5B02" w14:textId="5946CF46" w:rsidR="00973893" w:rsidRPr="00603676" w:rsidRDefault="00973893" w:rsidP="00603676">
      <w:pPr>
        <w:pStyle w:val="ListParagraph"/>
        <w:numPr>
          <w:ilvl w:val="0"/>
          <w:numId w:val="18"/>
        </w:numPr>
        <w:ind w:right="-622"/>
        <w:rPr>
          <w:rFonts w:cs="Arial"/>
          <w:szCs w:val="24"/>
        </w:rPr>
      </w:pPr>
      <w:r w:rsidRPr="00603676">
        <w:rPr>
          <w:rFonts w:cs="Arial"/>
          <w:szCs w:val="24"/>
        </w:rPr>
        <w:t>Diane Jones: Chief Nurse &amp; director of Quality, NW London CCGs</w:t>
      </w:r>
    </w:p>
    <w:p w14:paraId="7B6C4346" w14:textId="77777777" w:rsidR="00973893" w:rsidRDefault="00973893" w:rsidP="00973893">
      <w:pPr>
        <w:ind w:left="1440"/>
        <w:rPr>
          <w:rFonts w:cs="Arial"/>
          <w:szCs w:val="24"/>
        </w:rPr>
      </w:pPr>
    </w:p>
    <w:p w14:paraId="035DD5D6" w14:textId="77A5D8B6" w:rsidR="00973893" w:rsidRPr="00603676" w:rsidRDefault="00A7180E" w:rsidP="00603676">
      <w:pPr>
        <w:pStyle w:val="ListParagraph"/>
        <w:numPr>
          <w:ilvl w:val="0"/>
          <w:numId w:val="18"/>
        </w:numPr>
        <w:rPr>
          <w:szCs w:val="24"/>
        </w:rPr>
      </w:pPr>
      <w:r>
        <w:rPr>
          <w:rFonts w:cs="Arial"/>
          <w:szCs w:val="24"/>
        </w:rPr>
        <w:t xml:space="preserve">David </w:t>
      </w:r>
      <w:proofErr w:type="spellStart"/>
      <w:r>
        <w:rPr>
          <w:rFonts w:cs="Arial"/>
          <w:szCs w:val="24"/>
        </w:rPr>
        <w:t>Muana</w:t>
      </w:r>
      <w:proofErr w:type="spellEnd"/>
      <w:r w:rsidR="0002759E">
        <w:rPr>
          <w:rFonts w:cs="Arial"/>
          <w:szCs w:val="24"/>
        </w:rPr>
        <w:t xml:space="preserve"> </w:t>
      </w:r>
      <w:r w:rsidR="00973893" w:rsidRPr="00603676">
        <w:rPr>
          <w:rFonts w:cs="Arial"/>
          <w:szCs w:val="24"/>
        </w:rPr>
        <w:t xml:space="preserve">: </w:t>
      </w:r>
      <w:r>
        <w:rPr>
          <w:szCs w:val="24"/>
        </w:rPr>
        <w:t>Associate Director</w:t>
      </w:r>
      <w:r w:rsidRPr="00603676">
        <w:rPr>
          <w:szCs w:val="24"/>
        </w:rPr>
        <w:t xml:space="preserve"> </w:t>
      </w:r>
      <w:r>
        <w:rPr>
          <w:szCs w:val="24"/>
        </w:rPr>
        <w:t>f</w:t>
      </w:r>
      <w:r w:rsidR="00973893" w:rsidRPr="00603676">
        <w:rPr>
          <w:szCs w:val="24"/>
        </w:rPr>
        <w:t>o</w:t>
      </w:r>
      <w:r>
        <w:rPr>
          <w:szCs w:val="24"/>
        </w:rPr>
        <w:t>r</w:t>
      </w:r>
      <w:r w:rsidR="00973893" w:rsidRPr="00603676">
        <w:rPr>
          <w:szCs w:val="24"/>
        </w:rPr>
        <w:t xml:space="preserve"> Continuing Healthcare Team &amp; complex care, NHS Brent, Harrow &amp; Hillingdon CCGs</w:t>
      </w:r>
    </w:p>
    <w:p w14:paraId="41E11A88" w14:textId="77777777" w:rsidR="00973893" w:rsidRDefault="00973893" w:rsidP="00973893">
      <w:pPr>
        <w:ind w:left="720" w:firstLine="720"/>
        <w:rPr>
          <w:rFonts w:cs="Arial"/>
          <w:szCs w:val="24"/>
        </w:rPr>
      </w:pPr>
    </w:p>
    <w:p w14:paraId="73C39830" w14:textId="11C5077A" w:rsidR="00973893" w:rsidRPr="00603676" w:rsidRDefault="00973893" w:rsidP="00603676">
      <w:pPr>
        <w:pStyle w:val="ListParagraph"/>
        <w:numPr>
          <w:ilvl w:val="0"/>
          <w:numId w:val="18"/>
        </w:numPr>
        <w:rPr>
          <w:rFonts w:cs="Arial"/>
          <w:szCs w:val="24"/>
        </w:rPr>
      </w:pPr>
      <w:r w:rsidRPr="00603676">
        <w:rPr>
          <w:rFonts w:cs="Arial"/>
          <w:szCs w:val="24"/>
        </w:rPr>
        <w:t xml:space="preserve">Seth Mills: Head of Service, LB Harrow </w:t>
      </w:r>
      <w:r w:rsidR="0002759E">
        <w:rPr>
          <w:rFonts w:cs="Arial"/>
          <w:szCs w:val="24"/>
        </w:rPr>
        <w:t>CLDT and CYAD</w:t>
      </w:r>
    </w:p>
    <w:p w14:paraId="31B25FE6" w14:textId="77777777" w:rsidR="00973893" w:rsidRPr="001F07CC" w:rsidRDefault="00973893" w:rsidP="00973893">
      <w:pPr>
        <w:rPr>
          <w:rFonts w:cs="Arial"/>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968"/>
      </w:tblGrid>
      <w:tr w:rsidR="00973893" w:rsidRPr="001F07CC" w14:paraId="34E31B56" w14:textId="77777777" w:rsidTr="00E3267C">
        <w:tc>
          <w:tcPr>
            <w:tcW w:w="2841" w:type="dxa"/>
            <w:shd w:val="clear" w:color="auto" w:fill="auto"/>
          </w:tcPr>
          <w:p w14:paraId="2315DB24" w14:textId="77777777" w:rsidR="00973893" w:rsidRPr="001F07CC" w:rsidRDefault="00973893" w:rsidP="00E3267C">
            <w:pPr>
              <w:rPr>
                <w:rFonts w:cs="Arial"/>
                <w:b/>
                <w:szCs w:val="24"/>
              </w:rPr>
            </w:pPr>
            <w:r w:rsidRPr="001F07CC">
              <w:rPr>
                <w:rFonts w:cs="Arial"/>
                <w:b/>
                <w:szCs w:val="24"/>
              </w:rPr>
              <w:t>Name</w:t>
            </w:r>
          </w:p>
        </w:tc>
        <w:tc>
          <w:tcPr>
            <w:tcW w:w="2738" w:type="dxa"/>
            <w:shd w:val="clear" w:color="auto" w:fill="auto"/>
          </w:tcPr>
          <w:p w14:paraId="1884ACBA" w14:textId="77777777" w:rsidR="00973893" w:rsidRPr="001F07CC" w:rsidRDefault="00973893" w:rsidP="00E3267C">
            <w:pPr>
              <w:rPr>
                <w:rFonts w:cs="Arial"/>
                <w:b/>
                <w:szCs w:val="24"/>
              </w:rPr>
            </w:pPr>
            <w:r w:rsidRPr="001F07CC">
              <w:rPr>
                <w:rFonts w:cs="Arial"/>
                <w:b/>
                <w:szCs w:val="24"/>
              </w:rPr>
              <w:t>Contact email</w:t>
            </w:r>
          </w:p>
        </w:tc>
      </w:tr>
      <w:tr w:rsidR="00973893" w:rsidRPr="001F07CC" w14:paraId="56254816" w14:textId="77777777" w:rsidTr="00E3267C">
        <w:tc>
          <w:tcPr>
            <w:tcW w:w="2841" w:type="dxa"/>
            <w:shd w:val="clear" w:color="auto" w:fill="auto"/>
          </w:tcPr>
          <w:p w14:paraId="079C7BD3" w14:textId="77777777" w:rsidR="00973893" w:rsidRPr="001F07CC" w:rsidRDefault="00973893" w:rsidP="00E3267C">
            <w:pPr>
              <w:rPr>
                <w:rFonts w:cs="Arial"/>
                <w:szCs w:val="24"/>
              </w:rPr>
            </w:pPr>
            <w:r w:rsidRPr="001F07CC">
              <w:rPr>
                <w:rFonts w:cs="Arial"/>
                <w:szCs w:val="24"/>
              </w:rPr>
              <w:t>Diane Jones</w:t>
            </w:r>
          </w:p>
        </w:tc>
        <w:tc>
          <w:tcPr>
            <w:tcW w:w="2738" w:type="dxa"/>
            <w:shd w:val="clear" w:color="auto" w:fill="auto"/>
          </w:tcPr>
          <w:p w14:paraId="19470F5E" w14:textId="77777777" w:rsidR="00973893" w:rsidRPr="001F07CC" w:rsidRDefault="00673E4A" w:rsidP="00E3267C">
            <w:pPr>
              <w:rPr>
                <w:rFonts w:cs="Arial"/>
                <w:szCs w:val="24"/>
              </w:rPr>
            </w:pPr>
            <w:hyperlink r:id="rId13" w:history="1">
              <w:r w:rsidR="00973893" w:rsidRPr="001F07CC">
                <w:rPr>
                  <w:rStyle w:val="Hyperlink"/>
                  <w:rFonts w:cs="Arial"/>
                  <w:szCs w:val="24"/>
                </w:rPr>
                <w:t>diane.jones11@nhs.net</w:t>
              </w:r>
            </w:hyperlink>
            <w:r w:rsidR="00973893" w:rsidRPr="001F07CC">
              <w:rPr>
                <w:rFonts w:cs="Arial"/>
                <w:szCs w:val="24"/>
              </w:rPr>
              <w:t xml:space="preserve"> </w:t>
            </w:r>
          </w:p>
        </w:tc>
      </w:tr>
      <w:tr w:rsidR="00973893" w:rsidRPr="001F07CC" w14:paraId="0CC059E7" w14:textId="77777777" w:rsidTr="00E3267C">
        <w:tc>
          <w:tcPr>
            <w:tcW w:w="2841" w:type="dxa"/>
            <w:shd w:val="clear" w:color="auto" w:fill="auto"/>
          </w:tcPr>
          <w:p w14:paraId="6F4B6402" w14:textId="46178207" w:rsidR="00973893" w:rsidRPr="001F07CC" w:rsidRDefault="00A7180E" w:rsidP="00E3267C">
            <w:pPr>
              <w:rPr>
                <w:rFonts w:cs="Arial"/>
                <w:szCs w:val="24"/>
              </w:rPr>
            </w:pPr>
            <w:r>
              <w:rPr>
                <w:rFonts w:cs="Arial"/>
                <w:szCs w:val="24"/>
              </w:rPr>
              <w:t xml:space="preserve">David </w:t>
            </w:r>
            <w:proofErr w:type="spellStart"/>
            <w:r>
              <w:rPr>
                <w:rFonts w:cs="Arial"/>
                <w:szCs w:val="24"/>
              </w:rPr>
              <w:t>Muana</w:t>
            </w:r>
            <w:proofErr w:type="spellEnd"/>
          </w:p>
        </w:tc>
        <w:tc>
          <w:tcPr>
            <w:tcW w:w="2738" w:type="dxa"/>
            <w:shd w:val="clear" w:color="auto" w:fill="auto"/>
          </w:tcPr>
          <w:p w14:paraId="3A488FC5" w14:textId="029E5830" w:rsidR="0002759E" w:rsidRPr="001F07CC" w:rsidRDefault="00673E4A" w:rsidP="0002759E">
            <w:pPr>
              <w:rPr>
                <w:rFonts w:cs="Arial"/>
                <w:szCs w:val="24"/>
              </w:rPr>
            </w:pPr>
            <w:hyperlink r:id="rId14" w:history="1">
              <w:r w:rsidR="0002759E" w:rsidRPr="0098381B">
                <w:rPr>
                  <w:rStyle w:val="Hyperlink"/>
                  <w:rFonts w:cs="Arial"/>
                  <w:szCs w:val="24"/>
                </w:rPr>
                <w:t>david.muana2@nhs.net</w:t>
              </w:r>
            </w:hyperlink>
          </w:p>
        </w:tc>
      </w:tr>
      <w:tr w:rsidR="00973893" w:rsidRPr="001F07CC" w14:paraId="6BD76BE8" w14:textId="77777777" w:rsidTr="00E3267C">
        <w:tc>
          <w:tcPr>
            <w:tcW w:w="2841" w:type="dxa"/>
            <w:shd w:val="clear" w:color="auto" w:fill="auto"/>
          </w:tcPr>
          <w:p w14:paraId="4A45A485" w14:textId="77777777" w:rsidR="00973893" w:rsidRPr="001F07CC" w:rsidRDefault="00973893" w:rsidP="00E3267C">
            <w:pPr>
              <w:rPr>
                <w:rFonts w:cs="Arial"/>
                <w:szCs w:val="24"/>
              </w:rPr>
            </w:pPr>
            <w:r w:rsidRPr="001F07CC">
              <w:rPr>
                <w:rFonts w:cs="Arial"/>
                <w:szCs w:val="24"/>
              </w:rPr>
              <w:t>Seth Mills</w:t>
            </w:r>
          </w:p>
        </w:tc>
        <w:tc>
          <w:tcPr>
            <w:tcW w:w="2738" w:type="dxa"/>
            <w:shd w:val="clear" w:color="auto" w:fill="auto"/>
          </w:tcPr>
          <w:p w14:paraId="6CC56598" w14:textId="77777777" w:rsidR="00973893" w:rsidRPr="001F07CC" w:rsidRDefault="00673E4A" w:rsidP="00E3267C">
            <w:pPr>
              <w:rPr>
                <w:rFonts w:cs="Arial"/>
                <w:szCs w:val="24"/>
              </w:rPr>
            </w:pPr>
            <w:hyperlink r:id="rId15" w:history="1">
              <w:r w:rsidR="00973893" w:rsidRPr="001F07CC">
                <w:rPr>
                  <w:rStyle w:val="Hyperlink"/>
                  <w:rFonts w:cs="Arial"/>
                  <w:szCs w:val="24"/>
                </w:rPr>
                <w:t>seth.mills@harrow.gov.uk</w:t>
              </w:r>
            </w:hyperlink>
            <w:r w:rsidR="00973893" w:rsidRPr="001F07CC">
              <w:rPr>
                <w:rFonts w:cs="Arial"/>
                <w:szCs w:val="24"/>
              </w:rPr>
              <w:t xml:space="preserve"> </w:t>
            </w:r>
          </w:p>
        </w:tc>
      </w:tr>
    </w:tbl>
    <w:p w14:paraId="18163F67" w14:textId="520A8DBD" w:rsidR="002A2389" w:rsidRDefault="002A2389" w:rsidP="00973893">
      <w:pPr>
        <w:pStyle w:val="Infotext"/>
      </w:pPr>
    </w:p>
    <w:p w14:paraId="288B13E8" w14:textId="77777777" w:rsidR="002A2389" w:rsidRDefault="002A2389"/>
    <w:p w14:paraId="04625299" w14:textId="45B0737A" w:rsidR="00197F56" w:rsidRDefault="002A2389">
      <w:pPr>
        <w:pStyle w:val="Infotext"/>
      </w:pPr>
      <w:r w:rsidRPr="00D914D2">
        <w:rPr>
          <w:b/>
        </w:rPr>
        <w:t>Background Papers</w:t>
      </w:r>
      <w:r>
        <w:t xml:space="preserve">:  </w:t>
      </w:r>
    </w:p>
    <w:p w14:paraId="616DA06E" w14:textId="77777777" w:rsidR="00197F56" w:rsidRDefault="00197F56">
      <w:pPr>
        <w:pStyle w:val="Infotext"/>
      </w:pPr>
    </w:p>
    <w:p w14:paraId="6E33CF36" w14:textId="77777777" w:rsidR="00197F56" w:rsidRPr="00197F56" w:rsidRDefault="00197F56" w:rsidP="00197F56">
      <w:pPr>
        <w:rPr>
          <w:rFonts w:cs="Arial"/>
        </w:rPr>
      </w:pPr>
      <w:r w:rsidRPr="00197F56">
        <w:rPr>
          <w:rFonts w:cs="Arial"/>
        </w:rPr>
        <w:t>S117 panel Terms of Reference</w:t>
      </w:r>
    </w:p>
    <w:p w14:paraId="3AA0983B" w14:textId="54A1389C" w:rsidR="002A2389" w:rsidRDefault="00197F56" w:rsidP="00197F56">
      <w:r w:rsidRPr="00197F56">
        <w:rPr>
          <w:rFonts w:cs="Arial"/>
        </w:rPr>
        <w:t>S 117 Matrices</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70A5C" w14:textId="77777777" w:rsidR="00A07994" w:rsidRDefault="00A07994">
      <w:r>
        <w:separator/>
      </w:r>
    </w:p>
  </w:endnote>
  <w:endnote w:type="continuationSeparator" w:id="0">
    <w:p w14:paraId="61815080" w14:textId="77777777" w:rsidR="00A07994" w:rsidRDefault="00A0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7977" w14:textId="77777777" w:rsidR="00A07994" w:rsidRDefault="00A07994">
      <w:r>
        <w:separator/>
      </w:r>
    </w:p>
  </w:footnote>
  <w:footnote w:type="continuationSeparator" w:id="0">
    <w:p w14:paraId="4ADA5ABA" w14:textId="77777777" w:rsidR="00A07994" w:rsidRDefault="00A07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640AC"/>
    <w:multiLevelType w:val="hybridMultilevel"/>
    <w:tmpl w:val="8E12C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B33FD"/>
    <w:multiLevelType w:val="hybridMultilevel"/>
    <w:tmpl w:val="4BC4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35CE8"/>
    <w:multiLevelType w:val="hybridMultilevel"/>
    <w:tmpl w:val="E6A0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9B3421"/>
    <w:multiLevelType w:val="hybridMultilevel"/>
    <w:tmpl w:val="0E4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12"/>
  </w:num>
  <w:num w:numId="10">
    <w:abstractNumId w:val="16"/>
  </w:num>
  <w:num w:numId="11">
    <w:abstractNumId w:val="11"/>
  </w:num>
  <w:num w:numId="12">
    <w:abstractNumId w:val="2"/>
  </w:num>
  <w:num w:numId="13">
    <w:abstractNumId w:val="7"/>
  </w:num>
  <w:num w:numId="14">
    <w:abstractNumId w:val="3"/>
  </w:num>
  <w:num w:numId="15">
    <w:abstractNumId w:val="6"/>
  </w:num>
  <w:num w:numId="16">
    <w:abstractNumId w:val="0"/>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759C"/>
    <w:rsid w:val="000110EA"/>
    <w:rsid w:val="000224B6"/>
    <w:rsid w:val="0002759E"/>
    <w:rsid w:val="00057F10"/>
    <w:rsid w:val="00071EB4"/>
    <w:rsid w:val="00077298"/>
    <w:rsid w:val="00080819"/>
    <w:rsid w:val="00081FFF"/>
    <w:rsid w:val="00096523"/>
    <w:rsid w:val="000B6DBB"/>
    <w:rsid w:val="000D2BF2"/>
    <w:rsid w:val="000D6321"/>
    <w:rsid w:val="000F65C0"/>
    <w:rsid w:val="00110F14"/>
    <w:rsid w:val="00117A56"/>
    <w:rsid w:val="00122491"/>
    <w:rsid w:val="001417FD"/>
    <w:rsid w:val="001444D4"/>
    <w:rsid w:val="00191535"/>
    <w:rsid w:val="001939BA"/>
    <w:rsid w:val="00197F56"/>
    <w:rsid w:val="001C5225"/>
    <w:rsid w:val="001E0219"/>
    <w:rsid w:val="001F341E"/>
    <w:rsid w:val="00231A1D"/>
    <w:rsid w:val="00242929"/>
    <w:rsid w:val="00296F20"/>
    <w:rsid w:val="002A2389"/>
    <w:rsid w:val="002C08E2"/>
    <w:rsid w:val="002C1794"/>
    <w:rsid w:val="002C1F61"/>
    <w:rsid w:val="002E77E3"/>
    <w:rsid w:val="003115B3"/>
    <w:rsid w:val="00362D11"/>
    <w:rsid w:val="003B28FE"/>
    <w:rsid w:val="003B6B15"/>
    <w:rsid w:val="003C0B16"/>
    <w:rsid w:val="004213D7"/>
    <w:rsid w:val="0042394B"/>
    <w:rsid w:val="00473B08"/>
    <w:rsid w:val="00474B5F"/>
    <w:rsid w:val="004959B0"/>
    <w:rsid w:val="004B2C9D"/>
    <w:rsid w:val="004C2D29"/>
    <w:rsid w:val="004D0836"/>
    <w:rsid w:val="004D5D86"/>
    <w:rsid w:val="004E667D"/>
    <w:rsid w:val="004E6AF9"/>
    <w:rsid w:val="00513FB9"/>
    <w:rsid w:val="00582078"/>
    <w:rsid w:val="005861B4"/>
    <w:rsid w:val="005874F0"/>
    <w:rsid w:val="005D4ADF"/>
    <w:rsid w:val="005E384D"/>
    <w:rsid w:val="005F2181"/>
    <w:rsid w:val="005F724B"/>
    <w:rsid w:val="00603676"/>
    <w:rsid w:val="0063072B"/>
    <w:rsid w:val="006465F6"/>
    <w:rsid w:val="00662891"/>
    <w:rsid w:val="00673E4A"/>
    <w:rsid w:val="00675FCB"/>
    <w:rsid w:val="006B306F"/>
    <w:rsid w:val="006C3914"/>
    <w:rsid w:val="006D2C51"/>
    <w:rsid w:val="007365F7"/>
    <w:rsid w:val="0074184E"/>
    <w:rsid w:val="00746FBC"/>
    <w:rsid w:val="00755F8D"/>
    <w:rsid w:val="00796503"/>
    <w:rsid w:val="007D56C8"/>
    <w:rsid w:val="007D7937"/>
    <w:rsid w:val="007E7303"/>
    <w:rsid w:val="007F7B2F"/>
    <w:rsid w:val="00803162"/>
    <w:rsid w:val="008136B1"/>
    <w:rsid w:val="00821231"/>
    <w:rsid w:val="008D1750"/>
    <w:rsid w:val="008E4913"/>
    <w:rsid w:val="008F4594"/>
    <w:rsid w:val="00900464"/>
    <w:rsid w:val="0090100E"/>
    <w:rsid w:val="0091294B"/>
    <w:rsid w:val="0093767E"/>
    <w:rsid w:val="009615A6"/>
    <w:rsid w:val="00972A02"/>
    <w:rsid w:val="00973893"/>
    <w:rsid w:val="0099517C"/>
    <w:rsid w:val="009A5960"/>
    <w:rsid w:val="009B2ECD"/>
    <w:rsid w:val="009B7914"/>
    <w:rsid w:val="009C7483"/>
    <w:rsid w:val="00A07994"/>
    <w:rsid w:val="00A50388"/>
    <w:rsid w:val="00A51FAE"/>
    <w:rsid w:val="00A566E7"/>
    <w:rsid w:val="00A613C1"/>
    <w:rsid w:val="00A7180E"/>
    <w:rsid w:val="00A76A21"/>
    <w:rsid w:val="00A940D3"/>
    <w:rsid w:val="00A96FCA"/>
    <w:rsid w:val="00AA4BE8"/>
    <w:rsid w:val="00AC7BA9"/>
    <w:rsid w:val="00B02963"/>
    <w:rsid w:val="00B0425E"/>
    <w:rsid w:val="00B13D14"/>
    <w:rsid w:val="00B229F1"/>
    <w:rsid w:val="00B22B48"/>
    <w:rsid w:val="00B30F8D"/>
    <w:rsid w:val="00B92AA6"/>
    <w:rsid w:val="00B9498A"/>
    <w:rsid w:val="00BC0F36"/>
    <w:rsid w:val="00BC19A0"/>
    <w:rsid w:val="00BC1EDA"/>
    <w:rsid w:val="00BC5FC4"/>
    <w:rsid w:val="00BD0537"/>
    <w:rsid w:val="00BD684A"/>
    <w:rsid w:val="00BE1C78"/>
    <w:rsid w:val="00BF6C06"/>
    <w:rsid w:val="00C171C8"/>
    <w:rsid w:val="00C22D14"/>
    <w:rsid w:val="00C32DAE"/>
    <w:rsid w:val="00C40E24"/>
    <w:rsid w:val="00C63D1D"/>
    <w:rsid w:val="00C82CEC"/>
    <w:rsid w:val="00C96EF5"/>
    <w:rsid w:val="00D1109B"/>
    <w:rsid w:val="00D32B51"/>
    <w:rsid w:val="00D34145"/>
    <w:rsid w:val="00D34668"/>
    <w:rsid w:val="00D3740E"/>
    <w:rsid w:val="00D82F57"/>
    <w:rsid w:val="00D841A5"/>
    <w:rsid w:val="00D914D2"/>
    <w:rsid w:val="00DA25DB"/>
    <w:rsid w:val="00DB2976"/>
    <w:rsid w:val="00DB39E5"/>
    <w:rsid w:val="00DD4251"/>
    <w:rsid w:val="00DF48BB"/>
    <w:rsid w:val="00DF7592"/>
    <w:rsid w:val="00E02B50"/>
    <w:rsid w:val="00E03F11"/>
    <w:rsid w:val="00E06DC8"/>
    <w:rsid w:val="00E220B5"/>
    <w:rsid w:val="00EA6242"/>
    <w:rsid w:val="00EE0325"/>
    <w:rsid w:val="00F37C8A"/>
    <w:rsid w:val="00F4213B"/>
    <w:rsid w:val="00F44495"/>
    <w:rsid w:val="00F57D9E"/>
    <w:rsid w:val="00F66DED"/>
    <w:rsid w:val="00F74A0E"/>
    <w:rsid w:val="00F849ED"/>
    <w:rsid w:val="00F92398"/>
    <w:rsid w:val="00FC0167"/>
    <w:rsid w:val="00FD31A0"/>
    <w:rsid w:val="00FF1B08"/>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41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CharCharCharCharCharCharCharChar0">
    <w:name w:val="Char Char Char Char Char Char Char Char"/>
    <w:basedOn w:val="Normal"/>
    <w:rsid w:val="006B306F"/>
    <w:pPr>
      <w:spacing w:after="160" w:line="240" w:lineRule="exact"/>
    </w:pPr>
    <w:rPr>
      <w:rFonts w:ascii="Tahoma" w:hAnsi="Tahoma"/>
      <w:sz w:val="20"/>
      <w:lang w:eastAsia="en-GB"/>
    </w:rPr>
  </w:style>
  <w:style w:type="paragraph" w:customStyle="1" w:styleId="Default">
    <w:name w:val="Default"/>
    <w:rsid w:val="006B306F"/>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110F14"/>
    <w:rPr>
      <w:sz w:val="16"/>
      <w:szCs w:val="16"/>
    </w:rPr>
  </w:style>
  <w:style w:type="paragraph" w:styleId="CommentText">
    <w:name w:val="annotation text"/>
    <w:basedOn w:val="Normal"/>
    <w:link w:val="CommentTextChar"/>
    <w:rsid w:val="00110F14"/>
    <w:rPr>
      <w:sz w:val="20"/>
    </w:rPr>
  </w:style>
  <w:style w:type="character" w:customStyle="1" w:styleId="CommentTextChar">
    <w:name w:val="Comment Text Char"/>
    <w:basedOn w:val="DefaultParagraphFont"/>
    <w:link w:val="CommentText"/>
    <w:rsid w:val="00110F14"/>
    <w:rPr>
      <w:rFonts w:ascii="Arial" w:hAnsi="Arial"/>
      <w:lang w:eastAsia="en-US"/>
    </w:rPr>
  </w:style>
  <w:style w:type="paragraph" w:styleId="CommentSubject">
    <w:name w:val="annotation subject"/>
    <w:basedOn w:val="CommentText"/>
    <w:next w:val="CommentText"/>
    <w:link w:val="CommentSubjectChar"/>
    <w:rsid w:val="00110F14"/>
    <w:rPr>
      <w:b/>
      <w:bCs/>
    </w:rPr>
  </w:style>
  <w:style w:type="character" w:customStyle="1" w:styleId="CommentSubjectChar">
    <w:name w:val="Comment Subject Char"/>
    <w:basedOn w:val="CommentTextChar"/>
    <w:link w:val="CommentSubject"/>
    <w:rsid w:val="00110F14"/>
    <w:rPr>
      <w:rFonts w:ascii="Arial" w:hAnsi="Arial"/>
      <w:b/>
      <w:bCs/>
      <w:lang w:eastAsia="en-US"/>
    </w:rPr>
  </w:style>
  <w:style w:type="table" w:styleId="TableGrid">
    <w:name w:val="Table Grid"/>
    <w:basedOn w:val="TableNormal"/>
    <w:rsid w:val="00F4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CharCharCharCharCharCharCharChar0">
    <w:name w:val="Char Char Char Char Char Char Char Char"/>
    <w:basedOn w:val="Normal"/>
    <w:rsid w:val="006B306F"/>
    <w:pPr>
      <w:spacing w:after="160" w:line="240" w:lineRule="exact"/>
    </w:pPr>
    <w:rPr>
      <w:rFonts w:ascii="Tahoma" w:hAnsi="Tahoma"/>
      <w:sz w:val="20"/>
      <w:lang w:eastAsia="en-GB"/>
    </w:rPr>
  </w:style>
  <w:style w:type="paragraph" w:customStyle="1" w:styleId="Default">
    <w:name w:val="Default"/>
    <w:rsid w:val="006B306F"/>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110F14"/>
    <w:rPr>
      <w:sz w:val="16"/>
      <w:szCs w:val="16"/>
    </w:rPr>
  </w:style>
  <w:style w:type="paragraph" w:styleId="CommentText">
    <w:name w:val="annotation text"/>
    <w:basedOn w:val="Normal"/>
    <w:link w:val="CommentTextChar"/>
    <w:rsid w:val="00110F14"/>
    <w:rPr>
      <w:sz w:val="20"/>
    </w:rPr>
  </w:style>
  <w:style w:type="character" w:customStyle="1" w:styleId="CommentTextChar">
    <w:name w:val="Comment Text Char"/>
    <w:basedOn w:val="DefaultParagraphFont"/>
    <w:link w:val="CommentText"/>
    <w:rsid w:val="00110F14"/>
    <w:rPr>
      <w:rFonts w:ascii="Arial" w:hAnsi="Arial"/>
      <w:lang w:eastAsia="en-US"/>
    </w:rPr>
  </w:style>
  <w:style w:type="paragraph" w:styleId="CommentSubject">
    <w:name w:val="annotation subject"/>
    <w:basedOn w:val="CommentText"/>
    <w:next w:val="CommentText"/>
    <w:link w:val="CommentSubjectChar"/>
    <w:rsid w:val="00110F14"/>
    <w:rPr>
      <w:b/>
      <w:bCs/>
    </w:rPr>
  </w:style>
  <w:style w:type="character" w:customStyle="1" w:styleId="CommentSubjectChar">
    <w:name w:val="Comment Subject Char"/>
    <w:basedOn w:val="CommentTextChar"/>
    <w:link w:val="CommentSubject"/>
    <w:rsid w:val="00110F14"/>
    <w:rPr>
      <w:rFonts w:ascii="Arial" w:hAnsi="Arial"/>
      <w:b/>
      <w:bCs/>
      <w:lang w:eastAsia="en-US"/>
    </w:rPr>
  </w:style>
  <w:style w:type="table" w:styleId="TableGrid">
    <w:name w:val="Table Grid"/>
    <w:basedOn w:val="TableNormal"/>
    <w:rsid w:val="00F4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e.jones11@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th.mills@harrow.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muana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00CC654D20BC37CD49B0673AE075C42E37" PreviousValue="false"/>
</file>

<file path=customXml/item3.xml><?xml version="1.0" encoding="utf-8"?>
<ct:contentTypeSchema xmlns:ct="http://schemas.microsoft.com/office/2006/metadata/contentType" xmlns:ma="http://schemas.microsoft.com/office/2006/metadata/properties/metaAttributes" ct:_="" ma:_="" ma:contentTypeName="Management Document" ma:contentTypeID="0x0101000226E4B75CFA47B488D2CEFE4DCFDD6400CC654D20BC37CD49B0673AE075C42E37003F44F3C0714DA547B5671F2D60F0AA33" ma:contentTypeVersion="3" ma:contentTypeDescription="" ma:contentTypeScope="" ma:versionID="6ef9789b375fed6f16e5ffce9ff64aa9">
  <xsd:schema xmlns:xsd="http://www.w3.org/2001/XMLSchema" xmlns:xs="http://www.w3.org/2001/XMLSchema" xmlns:p="http://schemas.microsoft.com/office/2006/metadata/properties" xmlns:ns2="e48e9339-ef40-4192-ab59-a15ba5582753" targetNamespace="http://schemas.microsoft.com/office/2006/metadata/properties" ma:root="true" ma:fieldsID="8c8a29e71f854db348bfa409a64ab2b8"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c4449c2b-563a-486a-9021-5fa3786a6bfd}" ma:internalName="TaxCatchAll" ma:showField="CatchAllData" ma:web="5155c2f2-556a-4079-94ae-269ac86b18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449c2b-563a-486a-9021-5fa3786a6bfd}" ma:internalName="TaxCatchAllLabel" ma:readOnly="true" ma:showField="CatchAllDataLabel" ma:web="5155c2f2-556a-4079-94ae-269ac86b189b">
      <xsd:complexType>
        <xsd:complexContent>
          <xsd:extension base="dms:MultiChoiceLookup">
            <xsd:sequence>
              <xsd:element name="Value" type="dms:Lookup" maxOccurs="unbounded" minOccurs="0" nillable="true"/>
            </xsd:sequence>
          </xsd:extension>
        </xsd:complexContent>
      </xsd:complexType>
    </xsd:element>
    <xsd:element name="Fiscal_x0020_Year" ma:index="14" nillable="true" ma:displayName="Fiscal Year" ma:format="Dropdown" ma:internalName="Fiscal_x0020_Year" ma:readOnly="false">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Fiscal_x0020_Year xmlns="e48e9339-ef40-4192-ab59-a15ba5582753">FY 2019-20</Fiscal_x0020_Year>
    <HarrowProtectiveMarking xmlns="e48e9339-ef40-4192-ab59-a15ba5582753">OFFICIAL</HarrowProtectiveMarking>
    <HarrowDescription xmlns="e48e9339-ef40-4192-ab59-a15ba5582753" xsi:nil="true"/>
  </documentManagement>
</p:properties>
</file>

<file path=customXml/itemProps1.xml><?xml version="1.0" encoding="utf-8"?>
<ds:datastoreItem xmlns:ds="http://schemas.openxmlformats.org/officeDocument/2006/customXml" ds:itemID="{36BBA1F7-59B0-4A1F-BA6E-8E1C71DF66A5}">
  <ds:schemaRefs>
    <ds:schemaRef ds:uri="http://schemas.microsoft.com/sharepoint/v3/contenttype/forms"/>
  </ds:schemaRefs>
</ds:datastoreItem>
</file>

<file path=customXml/itemProps2.xml><?xml version="1.0" encoding="utf-8"?>
<ds:datastoreItem xmlns:ds="http://schemas.openxmlformats.org/officeDocument/2006/customXml" ds:itemID="{7610E07F-289D-4B49-9C50-AB679B5ED7C1}">
  <ds:schemaRefs>
    <ds:schemaRef ds:uri="Microsoft.SharePoint.Taxonomy.ContentTypeSync"/>
  </ds:schemaRefs>
</ds:datastoreItem>
</file>

<file path=customXml/itemProps3.xml><?xml version="1.0" encoding="utf-8"?>
<ds:datastoreItem xmlns:ds="http://schemas.openxmlformats.org/officeDocument/2006/customXml" ds:itemID="{A99BED48-C30C-4C78-A7CC-157AAFA8C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F6E92-7421-4DCD-BC5E-81EA1276D443}">
  <ds:schemaRefs>
    <ds:schemaRef ds:uri="http://schemas.microsoft.com/office/infopath/2007/PartnerControls"/>
    <ds:schemaRef ds:uri="http://purl.org/dc/elements/1.1/"/>
    <ds:schemaRef ds:uri="http://schemas.openxmlformats.org/package/2006/metadata/core-properties"/>
    <ds:schemaRef ds:uri="http://purl.org/dc/terms/"/>
    <ds:schemaRef ds:uri="e48e9339-ef40-4192-ab59-a15ba5582753"/>
    <ds:schemaRef ds:uri="http://purl.org/dc/dcmitype/"/>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S117 HWB report</vt:lpstr>
    </vt:vector>
  </TitlesOfParts>
  <Company>Harrow Council</Company>
  <LinksUpToDate>false</LinksUpToDate>
  <CharactersWithSpaces>8277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S117 HWB report</dc:title>
  <dc:creator>Harrow IT Services</dc:creator>
  <cp:lastModifiedBy>Miriam Wearing</cp:lastModifiedBy>
  <cp:revision>3</cp:revision>
  <cp:lastPrinted>2019-10-11T14:29:00Z</cp:lastPrinted>
  <dcterms:created xsi:type="dcterms:W3CDTF">2019-12-09T08:44:00Z</dcterms:created>
  <dcterms:modified xsi:type="dcterms:W3CDTF">2019-12-09T08:45:00Z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0x0101000226E4B75CFA47B488D2CEFE4DCFDD6400CC654D20BC37CD49B0673AE075C42E37003F44F3C0714DA547B5671F2D60F0AA33</vt:lpwstr>
  </property>
  <property fmtid="{D5CDD505-2E9C-101B-9397-08002B2CF9AE}" pid="3" name="TaxKeyword">
    <vt:lpwstr/>
  </property>
</Properties>
</file>